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336F" w14:textId="448E1970" w:rsidR="00C2036A" w:rsidRPr="00D40DC9" w:rsidRDefault="00C2036A" w:rsidP="00C2036A">
      <w:pPr>
        <w:shd w:val="clear" w:color="auto" w:fill="FFFFFF"/>
        <w:spacing w:after="0" w:line="240" w:lineRule="auto"/>
        <w:jc w:val="both"/>
        <w:rPr>
          <w:rStyle w:val="Textoennegrita"/>
          <w:rFonts w:asciiTheme="majorHAnsi" w:hAnsiTheme="majorHAnsi" w:cstheme="majorHAnsi"/>
          <w:b w:val="0"/>
          <w:bCs w:val="0"/>
          <w:color w:val="009AE1"/>
          <w:sz w:val="36"/>
          <w:szCs w:val="36"/>
          <w:shd w:val="clear" w:color="auto" w:fill="F7F7F7"/>
        </w:rPr>
      </w:pPr>
    </w:p>
    <w:p w14:paraId="1A72B31C" w14:textId="7E060560" w:rsidR="00D40DC9" w:rsidRPr="00F17D48" w:rsidRDefault="00D40DC9" w:rsidP="00D40DC9">
      <w:pPr>
        <w:shd w:val="clear" w:color="auto" w:fill="FFFFFF"/>
        <w:spacing w:after="0" w:line="240" w:lineRule="auto"/>
        <w:jc w:val="center"/>
        <w:rPr>
          <w:rFonts w:asciiTheme="majorHAnsi" w:eastAsia="Verdana" w:hAnsiTheme="majorHAnsi" w:cstheme="majorHAnsi"/>
          <w:bCs/>
          <w:sz w:val="32"/>
          <w:szCs w:val="36"/>
          <w:highlight w:val="yellow"/>
        </w:rPr>
      </w:pPr>
      <w:r w:rsidRPr="00F17D48">
        <w:rPr>
          <w:rFonts w:asciiTheme="majorHAnsi" w:eastAsia="Verdana" w:hAnsiTheme="majorHAnsi" w:cstheme="majorHAnsi"/>
          <w:bCs/>
          <w:sz w:val="32"/>
          <w:szCs w:val="36"/>
        </w:rPr>
        <w:t>ONU-Habitat firma acuerdos con dos gobiernos municipales de Santa Cruz y una universidad de Pando</w:t>
      </w:r>
    </w:p>
    <w:p w14:paraId="582D2577" w14:textId="77777777" w:rsidR="00D40DC9" w:rsidRPr="00D40DC9" w:rsidRDefault="00D40DC9" w:rsidP="00C2036A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/>
          <w:color w:val="555555"/>
          <w:highlight w:val="yellow"/>
        </w:rPr>
      </w:pPr>
    </w:p>
    <w:p w14:paraId="2D28ED44" w14:textId="77777777" w:rsidR="00D40DC9" w:rsidRPr="00D40DC9" w:rsidRDefault="00D40DC9" w:rsidP="00C2036A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/>
          <w:color w:val="555555"/>
          <w:highlight w:val="yellow"/>
        </w:rPr>
      </w:pPr>
    </w:p>
    <w:p w14:paraId="7AE26BD8" w14:textId="18DA5C12" w:rsidR="00D40DC9" w:rsidRPr="00C375EA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sz w:val="24"/>
          <w:szCs w:val="24"/>
          <w:lang w:val="es-BO"/>
        </w:rPr>
      </w:pPr>
      <w:r w:rsidRPr="00C375EA">
        <w:rPr>
          <w:rFonts w:asciiTheme="majorHAnsi" w:eastAsia="Verdana" w:hAnsiTheme="majorHAnsi" w:cstheme="majorHAnsi"/>
          <w:b/>
          <w:bCs/>
          <w:sz w:val="24"/>
          <w:szCs w:val="24"/>
        </w:rPr>
        <w:t>La Paz</w:t>
      </w:r>
      <w:r w:rsidR="00C2036A" w:rsidRPr="00C375EA">
        <w:rPr>
          <w:rFonts w:asciiTheme="majorHAnsi" w:eastAsia="Verdana" w:hAnsiTheme="majorHAnsi" w:cstheme="majorHAnsi"/>
          <w:b/>
          <w:bCs/>
          <w:sz w:val="24"/>
          <w:szCs w:val="24"/>
        </w:rPr>
        <w:t xml:space="preserve">-Bolivia, </w:t>
      </w:r>
      <w:r w:rsidRPr="00C375EA">
        <w:rPr>
          <w:rFonts w:asciiTheme="majorHAnsi" w:eastAsia="Verdana" w:hAnsiTheme="majorHAnsi" w:cstheme="majorHAnsi"/>
          <w:b/>
          <w:bCs/>
          <w:sz w:val="24"/>
          <w:szCs w:val="24"/>
        </w:rPr>
        <w:t xml:space="preserve">13 de diciembre de </w:t>
      </w:r>
      <w:r w:rsidR="00C2036A" w:rsidRPr="00C375EA">
        <w:rPr>
          <w:rFonts w:asciiTheme="majorHAnsi" w:eastAsia="Verdana" w:hAnsiTheme="majorHAnsi" w:cstheme="majorHAnsi"/>
          <w:b/>
          <w:bCs/>
          <w:sz w:val="24"/>
          <w:szCs w:val="24"/>
        </w:rPr>
        <w:t>2021.</w:t>
      </w:r>
      <w:r w:rsidRPr="00C375EA">
        <w:rPr>
          <w:rFonts w:asciiTheme="majorHAnsi" w:eastAsia="Verdana" w:hAnsiTheme="majorHAnsi" w:cstheme="majorHAnsi"/>
          <w:b/>
          <w:bCs/>
          <w:sz w:val="24"/>
          <w:szCs w:val="24"/>
        </w:rPr>
        <w:t>-</w:t>
      </w:r>
      <w:r w:rsidRPr="00C375EA">
        <w:rPr>
          <w:rFonts w:asciiTheme="majorHAnsi" w:eastAsia="Verdana" w:hAnsiTheme="majorHAnsi" w:cstheme="majorHAnsi"/>
          <w:iCs/>
          <w:sz w:val="24"/>
          <w:szCs w:val="24"/>
        </w:rPr>
        <w:t xml:space="preserve"> Con</w:t>
      </w:r>
      <w:r w:rsidRPr="00C375EA">
        <w:rPr>
          <w:rFonts w:asciiTheme="majorHAnsi" w:eastAsia="Verdana" w:hAnsiTheme="majorHAnsi" w:cstheme="majorHAnsi"/>
          <w:iCs/>
          <w:sz w:val="24"/>
          <w:szCs w:val="24"/>
          <w:lang w:val="es-BO"/>
        </w:rPr>
        <w:t xml:space="preserve"> el objetivo de </w:t>
      </w:r>
      <w:r w:rsidRPr="00C375EA">
        <w:rPr>
          <w:rFonts w:asciiTheme="majorHAnsi" w:eastAsia="Verdana" w:hAnsiTheme="majorHAnsi" w:cstheme="majorHAnsi"/>
          <w:b/>
          <w:bCs/>
          <w:iCs/>
          <w:sz w:val="24"/>
          <w:szCs w:val="24"/>
          <w:lang w:val="es-BO"/>
        </w:rPr>
        <w:t>promover la cooperación que permita impulsar el desarrollo urbano sostenible</w:t>
      </w:r>
      <w:r w:rsidRPr="00C375EA">
        <w:rPr>
          <w:rFonts w:asciiTheme="majorHAnsi" w:eastAsia="Verdana" w:hAnsiTheme="majorHAnsi" w:cstheme="majorHAnsi"/>
          <w:iCs/>
          <w:sz w:val="24"/>
          <w:szCs w:val="24"/>
          <w:lang w:val="es-BO"/>
        </w:rPr>
        <w:t>, el Programa de Naciones Unidas para los Asentamientos Humanos (</w:t>
      </w:r>
      <w:r w:rsidRPr="00C375EA">
        <w:rPr>
          <w:rFonts w:asciiTheme="majorHAnsi" w:eastAsia="Verdana" w:hAnsiTheme="majorHAnsi" w:cstheme="majorHAnsi"/>
          <w:b/>
          <w:bCs/>
          <w:iCs/>
          <w:sz w:val="24"/>
          <w:szCs w:val="24"/>
          <w:lang w:val="es-BO"/>
        </w:rPr>
        <w:t>ONU-Habitat</w:t>
      </w:r>
      <w:r w:rsidRPr="00C375EA">
        <w:rPr>
          <w:rFonts w:asciiTheme="majorHAnsi" w:eastAsia="Verdana" w:hAnsiTheme="majorHAnsi" w:cstheme="majorHAnsi"/>
          <w:iCs/>
          <w:sz w:val="24"/>
          <w:szCs w:val="24"/>
          <w:lang w:val="es-BO"/>
        </w:rPr>
        <w:t>) firmó en las últimas semanas memorandos de entendimiento con la Universidad Amazónica de Pando (UAP) y con los gobiernos autónomos municipales de San Ignacio de Velasco y Ascensión de Guarayos.</w:t>
      </w:r>
    </w:p>
    <w:p w14:paraId="5B503F18" w14:textId="77777777" w:rsidR="00D40DC9" w:rsidRPr="00E56950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</w:p>
    <w:p w14:paraId="4EE79798" w14:textId="0B010D53" w:rsidR="00D40DC9" w:rsidRPr="00E56950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“Nuestro compromiso es trabajar de forma conjunta </w:t>
      </w:r>
      <w:r w:rsidRPr="00E56950">
        <w:rPr>
          <w:rFonts w:asciiTheme="majorHAnsi" w:eastAsia="Verdana" w:hAnsiTheme="majorHAnsi" w:cstheme="majorHAnsi"/>
          <w:b/>
          <w:bCs/>
          <w:iCs/>
          <w:color w:val="555555"/>
          <w:sz w:val="24"/>
          <w:szCs w:val="24"/>
          <w:lang w:val="es-BO"/>
        </w:rPr>
        <w:t>para seguir construyendo ciudades más inclusivas, seguras, resilientes y sostenibles</w:t>
      </w: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, además de proporcionar asistencia técnica especializada e incentivar iniciativas para la implementación de la </w:t>
      </w:r>
      <w:r w:rsidRPr="00E56950">
        <w:rPr>
          <w:rFonts w:asciiTheme="majorHAnsi" w:eastAsia="Verdana" w:hAnsiTheme="majorHAnsi" w:cstheme="majorHAnsi"/>
          <w:b/>
          <w:bCs/>
          <w:iCs/>
          <w:color w:val="555555"/>
          <w:sz w:val="24"/>
          <w:szCs w:val="24"/>
          <w:lang w:val="es-BO"/>
        </w:rPr>
        <w:t>Política Nacional de Desarrollo Integral de Ciudades (PNDIC)</w:t>
      </w: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a nivel local”, señaló el coordinador del Programa ONU-Habitat en Bolivia, Sergio Blanco.</w:t>
      </w:r>
    </w:p>
    <w:p w14:paraId="57B00333" w14:textId="77777777" w:rsidR="00D40DC9" w:rsidRPr="00E56950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</w:t>
      </w:r>
    </w:p>
    <w:p w14:paraId="21269AA9" w14:textId="725336C3" w:rsidR="00EF4587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Por su parte</w:t>
      </w:r>
      <w:r w:rsidR="00CA2866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,</w:t>
      </w: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el alcalde de 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Ascensión de Guarayos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, 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Pablo Eddie </w:t>
      </w:r>
      <w:proofErr w:type="spellStart"/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Guaristi</w:t>
      </w:r>
      <w:proofErr w:type="spellEnd"/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, sostuvo que “n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ecesitamos crecer de forma ordenada y planificada, con visión y capacidad de atender todas las necesidades que tienen los sectores de nuestro municipio</w:t>
      </w:r>
      <w:r w:rsidR="00CA2866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,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y con el apoyo de ONU-H</w:t>
      </w:r>
      <w:r w:rsidR="00BE32E4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abitat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, vamos a tener la ciudad intermedia que soñamos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”.</w:t>
      </w:r>
    </w:p>
    <w:p w14:paraId="0D27CF0E" w14:textId="77777777" w:rsidR="00EF4587" w:rsidRDefault="00EF4587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</w:p>
    <w:p w14:paraId="01E4D777" w14:textId="77777777" w:rsidR="00EF4587" w:rsidRDefault="00EF4587" w:rsidP="00EF4587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Los resultados de estos acuerdos bilaterales abarcan desde implementar el </w:t>
      </w:r>
      <w:r w:rsidRPr="00626B20">
        <w:rPr>
          <w:rFonts w:asciiTheme="majorHAnsi" w:eastAsia="Verdana" w:hAnsiTheme="majorHAnsi" w:cstheme="majorHAnsi"/>
          <w:b/>
          <w:bCs/>
          <w:iCs/>
          <w:color w:val="555555"/>
          <w:sz w:val="24"/>
          <w:szCs w:val="24"/>
          <w:lang w:val="es-BO"/>
        </w:rPr>
        <w:t>Objetivo de Desarrollo Sostenible 11 y la Nueva Agenda Urbana</w:t>
      </w: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, incluida su promoción, medición y seguimiento, hasta contribuir en el proceso de elaboración de la planificación territorial del municipio en su aspecto urbano.</w:t>
      </w:r>
    </w:p>
    <w:p w14:paraId="494F7AF6" w14:textId="77777777" w:rsidR="00EF4587" w:rsidRDefault="00EF4587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</w:p>
    <w:p w14:paraId="04E0A65E" w14:textId="218D7F63" w:rsidR="00D40DC9" w:rsidRPr="00E56950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“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V</w:t>
      </w: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amos a contribuir al proceso de generación de conocimiento e investigación aplicada. Tenemos los elementos necesarios (...) y, por supuesto, que queremos contribuir como universidad en estas investigaciones para que el beneficiado sea nuestra población”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,</w:t>
      </w:r>
      <w:r w:rsidR="00EF4587" w:rsidRP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afirmó</w:t>
      </w:r>
      <w:r w:rsidR="00EF4587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 xml:space="preserve"> el rector de la UAP, Franz Navia</w:t>
      </w:r>
      <w:r w:rsidR="00EF4587"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  <w:t>.</w:t>
      </w:r>
    </w:p>
    <w:p w14:paraId="3DBE0E74" w14:textId="70BE8142" w:rsidR="00D40DC9" w:rsidRPr="00E56950" w:rsidRDefault="00D40DC9" w:rsidP="00D40DC9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  <w:lang w:val="es-BO"/>
        </w:rPr>
      </w:pPr>
    </w:p>
    <w:p w14:paraId="66670554" w14:textId="138898F9" w:rsidR="00C2036A" w:rsidRPr="00E56950" w:rsidRDefault="00E56950" w:rsidP="00C2036A">
      <w:pPr>
        <w:shd w:val="clear" w:color="auto" w:fill="FFFFFF"/>
        <w:spacing w:after="0" w:line="240" w:lineRule="auto"/>
        <w:jc w:val="both"/>
        <w:rPr>
          <w:rFonts w:asciiTheme="majorHAnsi" w:eastAsia="Verdana" w:hAnsiTheme="majorHAnsi" w:cstheme="majorHAnsi"/>
          <w:iCs/>
          <w:color w:val="555555"/>
          <w:sz w:val="24"/>
          <w:szCs w:val="24"/>
        </w:rPr>
      </w:pPr>
      <w:r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Los memorandos, que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tendrá</w:t>
      </w:r>
      <w:r w:rsidR="00217694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n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una </w:t>
      </w:r>
      <w:r w:rsidR="00C2036A" w:rsidRPr="00626B20">
        <w:rPr>
          <w:rFonts w:asciiTheme="majorHAnsi" w:eastAsia="Verdana" w:hAnsiTheme="majorHAnsi" w:cstheme="majorHAnsi"/>
          <w:b/>
          <w:bCs/>
          <w:iCs/>
          <w:color w:val="555555"/>
          <w:sz w:val="24"/>
          <w:szCs w:val="24"/>
        </w:rPr>
        <w:t>validez de cinco años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, también</w:t>
      </w:r>
      <w:r w:rsidR="005437C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, 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destaca</w:t>
      </w:r>
      <w:r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n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que la colaboración e</w:t>
      </w:r>
      <w:r w:rsidR="005437C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ntre las partes 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será implementada prestando especial atención a un enfoque basado en el desarrollo social inclusivo para el beneficio del conjunto de</w:t>
      </w:r>
      <w:r w:rsidR="00217694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</w:t>
      </w:r>
      <w:r w:rsidR="000136E1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los p</w:t>
      </w:r>
      <w:r w:rsidR="00D17ED1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andin</w:t>
      </w:r>
      <w:r w:rsidR="000136E1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os</w:t>
      </w:r>
      <w:r w:rsidR="00D17ED1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 xml:space="preserve"> y cruceñ</w:t>
      </w:r>
      <w:r w:rsidR="000136E1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os</w:t>
      </w:r>
      <w:r w:rsidR="00C2036A" w:rsidRPr="00E56950">
        <w:rPr>
          <w:rFonts w:asciiTheme="majorHAnsi" w:eastAsia="Verdana" w:hAnsiTheme="majorHAnsi" w:cstheme="majorHAnsi"/>
          <w:iCs/>
          <w:color w:val="555555"/>
          <w:sz w:val="24"/>
          <w:szCs w:val="24"/>
        </w:rPr>
        <w:t>.</w:t>
      </w:r>
    </w:p>
    <w:p w14:paraId="360E0A6E" w14:textId="77777777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</w:p>
    <w:p w14:paraId="121BB931" w14:textId="77777777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</w:p>
    <w:p w14:paraId="2506AB2D" w14:textId="77777777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</w:p>
    <w:p w14:paraId="6C71674A" w14:textId="77777777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</w:p>
    <w:p w14:paraId="19D1ACA9" w14:textId="0BE1B1DF" w:rsidR="009D0B72" w:rsidRPr="00D40DC9" w:rsidRDefault="009D0B72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  <w:r w:rsidRPr="00D40DC9">
        <w:rPr>
          <w:rFonts w:asciiTheme="majorHAnsi" w:eastAsia="Verdana" w:hAnsiTheme="majorHAnsi" w:cstheme="majorHAnsi"/>
          <w:i/>
          <w:color w:val="555555"/>
          <w:sz w:val="20"/>
        </w:rPr>
        <w:t>ONU-HABITAT BOLIVIA</w:t>
      </w:r>
    </w:p>
    <w:p w14:paraId="4284E269" w14:textId="77777777" w:rsidR="00C2036A" w:rsidRPr="00D40DC9" w:rsidRDefault="00C2036A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</w:rPr>
      </w:pPr>
    </w:p>
    <w:p w14:paraId="12AD1D7A" w14:textId="77777777" w:rsidR="009620F4" w:rsidRPr="00D40DC9" w:rsidRDefault="009620F4" w:rsidP="009620F4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  <w:lang w:val="es-BO"/>
        </w:rPr>
      </w:pPr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>Facebook: @</w:t>
      </w:r>
      <w:proofErr w:type="spellStart"/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>ONUHabitatBolivia</w:t>
      </w:r>
      <w:proofErr w:type="spellEnd"/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 xml:space="preserve"> </w:t>
      </w:r>
    </w:p>
    <w:p w14:paraId="16509489" w14:textId="77777777" w:rsidR="009620F4" w:rsidRPr="00D40DC9" w:rsidRDefault="009620F4" w:rsidP="009620F4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  <w:lang w:val="es-BO"/>
        </w:rPr>
      </w:pPr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 xml:space="preserve"> Twitter: @</w:t>
      </w:r>
      <w:proofErr w:type="spellStart"/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>ONUHabitatBOL</w:t>
      </w:r>
      <w:proofErr w:type="spellEnd"/>
    </w:p>
    <w:p w14:paraId="2A9F36B9" w14:textId="6B073368" w:rsidR="005F51A5" w:rsidRPr="00D40DC9" w:rsidRDefault="009620F4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  <w:lang w:val="es-BO"/>
        </w:rPr>
      </w:pPr>
      <w:r w:rsidRPr="00D40DC9">
        <w:rPr>
          <w:rFonts w:asciiTheme="majorHAnsi" w:eastAsia="Verdana" w:hAnsiTheme="majorHAnsi" w:cstheme="majorHAnsi"/>
          <w:i/>
          <w:color w:val="555555"/>
          <w:sz w:val="20"/>
          <w:lang w:val="es-BO"/>
        </w:rPr>
        <w:t>YouTube: ONU-Habitat Bolivia</w:t>
      </w:r>
    </w:p>
    <w:p w14:paraId="0E4BFB58" w14:textId="13F61B70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  <w:lang w:val="es-BO"/>
        </w:rPr>
      </w:pPr>
    </w:p>
    <w:p w14:paraId="5BB6D543" w14:textId="77777777" w:rsidR="004700C5" w:rsidRPr="00D40DC9" w:rsidRDefault="004700C5" w:rsidP="004700C5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</w:pPr>
      <w:r w:rsidRPr="00D40DC9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  <w:t>Contacto:</w:t>
      </w:r>
    </w:p>
    <w:p w14:paraId="10204029" w14:textId="77777777" w:rsidR="004700C5" w:rsidRPr="00D40DC9" w:rsidRDefault="004700C5" w:rsidP="004700C5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</w:pPr>
      <w:r w:rsidRPr="00D40DC9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  <w:t>Patricia Olmos Castro</w:t>
      </w:r>
    </w:p>
    <w:p w14:paraId="404A300C" w14:textId="77777777" w:rsidR="004700C5" w:rsidRPr="00D40DC9" w:rsidRDefault="004700C5" w:rsidP="004700C5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</w:pPr>
      <w:r w:rsidRPr="00D40DC9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BO"/>
        </w:rPr>
        <w:t>Comunicaciones ONU-Habitat</w:t>
      </w:r>
    </w:p>
    <w:p w14:paraId="79221D50" w14:textId="77777777" w:rsidR="004700C5" w:rsidRPr="00D40DC9" w:rsidRDefault="004700C5" w:rsidP="004700C5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</w:pPr>
      <w:r w:rsidRPr="00D40DC9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patricia.olmos@onuhabitat.org </w:t>
      </w:r>
    </w:p>
    <w:p w14:paraId="63876191" w14:textId="77777777" w:rsidR="004700C5" w:rsidRPr="00D40DC9" w:rsidRDefault="004700C5" w:rsidP="000E5DCF">
      <w:pPr>
        <w:shd w:val="clear" w:color="auto" w:fill="FFFFFF"/>
        <w:spacing w:after="0" w:line="240" w:lineRule="auto"/>
        <w:jc w:val="right"/>
        <w:rPr>
          <w:rFonts w:asciiTheme="majorHAnsi" w:eastAsia="Verdana" w:hAnsiTheme="majorHAnsi" w:cstheme="majorHAnsi"/>
          <w:i/>
          <w:color w:val="555555"/>
          <w:sz w:val="20"/>
          <w:lang w:val="es-BO"/>
        </w:rPr>
      </w:pPr>
      <w:bookmarkStart w:id="0" w:name="_GoBack"/>
      <w:bookmarkEnd w:id="0"/>
    </w:p>
    <w:sectPr w:rsidR="004700C5" w:rsidRPr="00D40DC9" w:rsidSect="00E56950">
      <w:headerReference w:type="default" r:id="rId8"/>
      <w:pgSz w:w="12240" w:h="20160" w:code="120"/>
      <w:pgMar w:top="2835" w:right="1325" w:bottom="1702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79E4" w14:textId="77777777" w:rsidR="003F117C" w:rsidRDefault="003F117C">
      <w:pPr>
        <w:spacing w:after="0" w:line="240" w:lineRule="auto"/>
      </w:pPr>
      <w:r>
        <w:separator/>
      </w:r>
    </w:p>
  </w:endnote>
  <w:endnote w:type="continuationSeparator" w:id="0">
    <w:p w14:paraId="68BE6991" w14:textId="77777777" w:rsidR="003F117C" w:rsidRDefault="003F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1B0C" w14:textId="77777777" w:rsidR="003F117C" w:rsidRDefault="003F117C">
      <w:pPr>
        <w:spacing w:after="0" w:line="240" w:lineRule="auto"/>
      </w:pPr>
      <w:r>
        <w:separator/>
      </w:r>
    </w:p>
  </w:footnote>
  <w:footnote w:type="continuationSeparator" w:id="0">
    <w:p w14:paraId="351A4A67" w14:textId="77777777" w:rsidR="003F117C" w:rsidRDefault="003F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96CC" w14:textId="77777777" w:rsidR="00905A2E" w:rsidRDefault="00905A2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10710" w:type="dxa"/>
      <w:tblInd w:w="-426" w:type="dxa"/>
      <w:tblLayout w:type="fixed"/>
      <w:tblLook w:val="0400" w:firstRow="0" w:lastRow="0" w:firstColumn="0" w:lastColumn="0" w:noHBand="0" w:noVBand="1"/>
    </w:tblPr>
    <w:tblGrid>
      <w:gridCol w:w="5389"/>
      <w:gridCol w:w="5321"/>
    </w:tblGrid>
    <w:tr w:rsidR="00905A2E" w14:paraId="4A554A06" w14:textId="77777777">
      <w:tc>
        <w:tcPr>
          <w:tcW w:w="5389" w:type="dxa"/>
          <w:vMerge w:val="restart"/>
          <w:vAlign w:val="center"/>
        </w:tcPr>
        <w:p w14:paraId="6B5B0D63" w14:textId="77777777" w:rsidR="00905A2E" w:rsidRDefault="00F468A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after="0" w:line="240" w:lineRule="auto"/>
            <w:ind w:hanging="108"/>
            <w:jc w:val="center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7"/>
              <w:szCs w:val="17"/>
              <w:lang w:eastAsia="es-ES"/>
            </w:rPr>
            <w:drawing>
              <wp:inline distT="0" distB="0" distL="0" distR="0" wp14:anchorId="7BDB5CA0" wp14:editId="297D62BC">
                <wp:extent cx="3275965" cy="553085"/>
                <wp:effectExtent l="0" t="0" r="0" b="0"/>
                <wp:docPr id="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5965" cy="553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1" w:type="dxa"/>
        </w:tcPr>
        <w:p w14:paraId="1F1D83C8" w14:textId="77777777" w:rsidR="00905A2E" w:rsidRDefault="00F468A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3366FF"/>
              <w:sz w:val="17"/>
              <w:szCs w:val="17"/>
            </w:rPr>
          </w:pPr>
          <w:r w:rsidRPr="00323440">
            <w:rPr>
              <w:rFonts w:ascii="Verdana" w:eastAsia="Verdana" w:hAnsi="Verdana" w:cs="Verdana"/>
              <w:b/>
              <w:color w:val="00B0F0"/>
              <w:sz w:val="17"/>
              <w:szCs w:val="17"/>
            </w:rPr>
            <w:t>Programa de las Naciones Unidas para los Asentamientos Humanos</w:t>
          </w:r>
        </w:p>
      </w:tc>
    </w:tr>
    <w:tr w:rsidR="00905A2E" w14:paraId="02BCEDEC" w14:textId="77777777">
      <w:tc>
        <w:tcPr>
          <w:tcW w:w="5389" w:type="dxa"/>
          <w:vMerge/>
          <w:vAlign w:val="center"/>
        </w:tcPr>
        <w:p w14:paraId="4505B520" w14:textId="77777777" w:rsidR="00905A2E" w:rsidRDefault="00905A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color w:val="3366FF"/>
              <w:sz w:val="17"/>
              <w:szCs w:val="17"/>
            </w:rPr>
          </w:pPr>
        </w:p>
      </w:tc>
      <w:tc>
        <w:tcPr>
          <w:tcW w:w="5321" w:type="dxa"/>
        </w:tcPr>
        <w:p w14:paraId="07026A84" w14:textId="77777777" w:rsidR="00905A2E" w:rsidRDefault="00F468A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  <w:r>
            <w:rPr>
              <w:rFonts w:ascii="Verdana" w:eastAsia="Verdana" w:hAnsi="Verdana" w:cs="Verdana"/>
              <w:color w:val="000000"/>
              <w:sz w:val="17"/>
              <w:szCs w:val="17"/>
            </w:rPr>
            <w:t>Av. Mariscal Santa Cruz - Edificio Centro de Comunicaciones La Paz, Piso 3°, La Paz - Bolivia</w:t>
          </w:r>
        </w:p>
      </w:tc>
    </w:tr>
    <w:tr w:rsidR="00905A2E" w14:paraId="68D15BC7" w14:textId="77777777">
      <w:trPr>
        <w:trHeight w:val="129"/>
      </w:trPr>
      <w:tc>
        <w:tcPr>
          <w:tcW w:w="5389" w:type="dxa"/>
          <w:vMerge/>
          <w:vAlign w:val="center"/>
        </w:tcPr>
        <w:p w14:paraId="25003168" w14:textId="77777777" w:rsidR="00905A2E" w:rsidRDefault="00905A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5321" w:type="dxa"/>
        </w:tcPr>
        <w:p w14:paraId="13741EE1" w14:textId="77777777" w:rsidR="00905A2E" w:rsidRDefault="003F117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  <w:hyperlink r:id="rId2">
            <w:r w:rsidR="00F468A1">
              <w:rPr>
                <w:rFonts w:ascii="Verdana" w:eastAsia="Verdana" w:hAnsi="Verdana" w:cs="Verdana"/>
                <w:color w:val="0563C1"/>
                <w:sz w:val="17"/>
                <w:szCs w:val="17"/>
                <w:u w:val="single"/>
              </w:rPr>
              <w:t>bolivia@onuhabitat.org</w:t>
            </w:r>
          </w:hyperlink>
          <w:r w:rsidR="00F468A1">
            <w:rPr>
              <w:rFonts w:ascii="Verdana" w:eastAsia="Verdana" w:hAnsi="Verdana" w:cs="Verdana"/>
              <w:color w:val="000000"/>
              <w:sz w:val="17"/>
              <w:szCs w:val="17"/>
            </w:rPr>
            <w:t xml:space="preserve"> - https://es.unhabitat.org/bolivia/</w:t>
          </w:r>
        </w:p>
      </w:tc>
    </w:tr>
  </w:tbl>
  <w:p w14:paraId="42BACA6B" w14:textId="77777777" w:rsidR="00905A2E" w:rsidRPr="009C1272" w:rsidRDefault="009C12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4472C4" w:themeColor="accent1"/>
      </w:rPr>
    </w:pPr>
    <w:r>
      <w:rPr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17C78" wp14:editId="4D50EDF2">
              <wp:simplePos x="0" y="0"/>
              <wp:positionH relativeFrom="column">
                <wp:posOffset>-222885</wp:posOffset>
              </wp:positionH>
              <wp:positionV relativeFrom="paragraph">
                <wp:posOffset>241300</wp:posOffset>
              </wp:positionV>
              <wp:extent cx="6372225" cy="45719"/>
              <wp:effectExtent l="0" t="0" r="28575" b="1206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EC8DE62" id="Rectángulo 1" o:spid="_x0000_s1026" style="position:absolute;margin-left:-17.55pt;margin-top:19pt;width:501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" fillcolor="#00b0f0" strokecolor="#00b0f0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2E"/>
    <w:rsid w:val="000136E1"/>
    <w:rsid w:val="00023F16"/>
    <w:rsid w:val="0007707A"/>
    <w:rsid w:val="00096898"/>
    <w:rsid w:val="000D2D9C"/>
    <w:rsid w:val="000D6052"/>
    <w:rsid w:val="000E4229"/>
    <w:rsid w:val="000E5DCF"/>
    <w:rsid w:val="000F5713"/>
    <w:rsid w:val="00120B1C"/>
    <w:rsid w:val="00121E8D"/>
    <w:rsid w:val="00154DFB"/>
    <w:rsid w:val="0018322D"/>
    <w:rsid w:val="001B6CA6"/>
    <w:rsid w:val="001D1162"/>
    <w:rsid w:val="001E1AEB"/>
    <w:rsid w:val="00202A15"/>
    <w:rsid w:val="00217694"/>
    <w:rsid w:val="00236B29"/>
    <w:rsid w:val="002A3AEF"/>
    <w:rsid w:val="002B42B0"/>
    <w:rsid w:val="002C64C1"/>
    <w:rsid w:val="00323440"/>
    <w:rsid w:val="003A4C7C"/>
    <w:rsid w:val="003B65BF"/>
    <w:rsid w:val="003C23B5"/>
    <w:rsid w:val="003F117C"/>
    <w:rsid w:val="0045324C"/>
    <w:rsid w:val="004700C5"/>
    <w:rsid w:val="00473E89"/>
    <w:rsid w:val="004A2EA6"/>
    <w:rsid w:val="004A7740"/>
    <w:rsid w:val="004C5411"/>
    <w:rsid w:val="00502CA2"/>
    <w:rsid w:val="005052AE"/>
    <w:rsid w:val="00513A60"/>
    <w:rsid w:val="00524158"/>
    <w:rsid w:val="005437C0"/>
    <w:rsid w:val="0054627B"/>
    <w:rsid w:val="00550098"/>
    <w:rsid w:val="005F51A5"/>
    <w:rsid w:val="006252E3"/>
    <w:rsid w:val="00626B20"/>
    <w:rsid w:val="006730E9"/>
    <w:rsid w:val="00685AB2"/>
    <w:rsid w:val="006B27AE"/>
    <w:rsid w:val="006B794E"/>
    <w:rsid w:val="006E0307"/>
    <w:rsid w:val="0070385D"/>
    <w:rsid w:val="007149D8"/>
    <w:rsid w:val="007325A9"/>
    <w:rsid w:val="00753969"/>
    <w:rsid w:val="007C5ACE"/>
    <w:rsid w:val="007D5CC9"/>
    <w:rsid w:val="007D69A3"/>
    <w:rsid w:val="0080175F"/>
    <w:rsid w:val="00836860"/>
    <w:rsid w:val="008370D3"/>
    <w:rsid w:val="008B2059"/>
    <w:rsid w:val="008B2AB9"/>
    <w:rsid w:val="008D604D"/>
    <w:rsid w:val="008E7E58"/>
    <w:rsid w:val="00905A2E"/>
    <w:rsid w:val="0094657C"/>
    <w:rsid w:val="00952825"/>
    <w:rsid w:val="009620F4"/>
    <w:rsid w:val="00986AFA"/>
    <w:rsid w:val="0099077F"/>
    <w:rsid w:val="009A16F6"/>
    <w:rsid w:val="009C1272"/>
    <w:rsid w:val="009D0B72"/>
    <w:rsid w:val="009E125B"/>
    <w:rsid w:val="009E426D"/>
    <w:rsid w:val="00A120DF"/>
    <w:rsid w:val="00A74468"/>
    <w:rsid w:val="00A8659D"/>
    <w:rsid w:val="00AB28FF"/>
    <w:rsid w:val="00AF1F12"/>
    <w:rsid w:val="00B164CB"/>
    <w:rsid w:val="00B4171E"/>
    <w:rsid w:val="00B57462"/>
    <w:rsid w:val="00B87C0D"/>
    <w:rsid w:val="00BC09CF"/>
    <w:rsid w:val="00BE32E4"/>
    <w:rsid w:val="00BE3F0C"/>
    <w:rsid w:val="00BF25E9"/>
    <w:rsid w:val="00C1794E"/>
    <w:rsid w:val="00C2036A"/>
    <w:rsid w:val="00C32323"/>
    <w:rsid w:val="00C375EA"/>
    <w:rsid w:val="00C61745"/>
    <w:rsid w:val="00C663E6"/>
    <w:rsid w:val="00CA2866"/>
    <w:rsid w:val="00CB73CA"/>
    <w:rsid w:val="00CC0C8D"/>
    <w:rsid w:val="00CC2CF2"/>
    <w:rsid w:val="00CE2624"/>
    <w:rsid w:val="00D010CB"/>
    <w:rsid w:val="00D1238F"/>
    <w:rsid w:val="00D17ED1"/>
    <w:rsid w:val="00D31DD2"/>
    <w:rsid w:val="00D40D1C"/>
    <w:rsid w:val="00D40DC9"/>
    <w:rsid w:val="00D77170"/>
    <w:rsid w:val="00DA49D3"/>
    <w:rsid w:val="00DF07BE"/>
    <w:rsid w:val="00E56950"/>
    <w:rsid w:val="00E912EE"/>
    <w:rsid w:val="00EA4C87"/>
    <w:rsid w:val="00EC2714"/>
    <w:rsid w:val="00EF4587"/>
    <w:rsid w:val="00F07F1E"/>
    <w:rsid w:val="00F10989"/>
    <w:rsid w:val="00F17D48"/>
    <w:rsid w:val="00F468A1"/>
    <w:rsid w:val="00FF2A52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93C5"/>
  <w15:docId w15:val="{AB555B2E-CAC2-475A-9D20-AC73AE0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F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F4BEB"/>
    <w:rPr>
      <w:b/>
      <w:bCs/>
    </w:rPr>
  </w:style>
  <w:style w:type="character" w:customStyle="1" w:styleId="A0">
    <w:name w:val="A0"/>
    <w:uiPriority w:val="99"/>
    <w:rsid w:val="00AD596A"/>
    <w:rPr>
      <w:rFonts w:cs="Adobe Garamond Pro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10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4CF"/>
  </w:style>
  <w:style w:type="paragraph" w:styleId="Piedepgina">
    <w:name w:val="footer"/>
    <w:basedOn w:val="Normal"/>
    <w:link w:val="PiedepginaCar"/>
    <w:uiPriority w:val="99"/>
    <w:unhideWhenUsed/>
    <w:rsid w:val="00D10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4CF"/>
  </w:style>
  <w:style w:type="paragraph" w:customStyle="1" w:styleId="TableTitles">
    <w:name w:val="TableTitles"/>
    <w:basedOn w:val="Normal"/>
    <w:rsid w:val="00D104CF"/>
    <w:pPr>
      <w:spacing w:before="2" w:after="0" w:line="240" w:lineRule="auto"/>
      <w:ind w:firstLine="57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Input">
    <w:name w:val="TableInput"/>
    <w:basedOn w:val="TableTitles"/>
    <w:rsid w:val="00D104CF"/>
    <w:rPr>
      <w:rFonts w:ascii="Times New Roman" w:hAnsi="Times New Roman"/>
      <w:color w:val="000000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10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71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C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C02"/>
    <w:rPr>
      <w:b/>
      <w:bCs/>
      <w:sz w:val="20"/>
      <w:szCs w:val="20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5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85544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0844577">
                  <w:marLeft w:val="75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3967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livia@onuhabitat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PIizWIMWHHnYJEkGz4oCwgWYQ==">AMUW2mUN3eFGlrYHBSS0SzC4SZxiW72fWs5QheeGixzMFgUXoWmSwEja3BqcU4GuudmMD4PF5DMoVyFxKYSC/a2zFg0QOBwN3JENzTDGYL85nEYPi8zfuvw4bzxCvjlw/+Zl+an68OhB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5CD244-AC5F-48D9-805E-6D54AC72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Olmos</dc:creator>
  <cp:lastModifiedBy>Beatriz</cp:lastModifiedBy>
  <cp:revision>2</cp:revision>
  <cp:lastPrinted>2021-12-14T00:12:00Z</cp:lastPrinted>
  <dcterms:created xsi:type="dcterms:W3CDTF">2021-12-16T15:54:00Z</dcterms:created>
  <dcterms:modified xsi:type="dcterms:W3CDTF">2021-12-16T15:54:00Z</dcterms:modified>
</cp:coreProperties>
</file>