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CB5A" w14:textId="77777777" w:rsidR="00677850" w:rsidRPr="009462CA" w:rsidRDefault="009C1DC2">
      <w:pPr>
        <w:jc w:val="center"/>
        <w:rPr>
          <w:lang w:val="es-BO"/>
        </w:rPr>
      </w:pPr>
      <w:r w:rsidRPr="009462CA">
        <w:rPr>
          <w:b/>
          <w:color w:val="1F4E79"/>
          <w:sz w:val="28"/>
          <w:lang w:val="es-BO"/>
        </w:rPr>
        <w:t>RESPUESTAS A CONSULTAS ESCRITAS</w:t>
      </w:r>
    </w:p>
    <w:p w14:paraId="33E0F611" w14:textId="5AB6E8B0" w:rsidR="00677850" w:rsidRPr="009462CA" w:rsidRDefault="009C1DC2">
      <w:pPr>
        <w:jc w:val="center"/>
        <w:rPr>
          <w:lang w:val="es-BO"/>
        </w:rPr>
      </w:pPr>
      <w:r w:rsidRPr="009462CA">
        <w:rPr>
          <w:i/>
          <w:color w:val="595959"/>
          <w:lang w:val="es-BO"/>
        </w:rPr>
        <w:t>Proceso No 70000</w:t>
      </w:r>
      <w:r w:rsidR="0052038F">
        <w:rPr>
          <w:i/>
          <w:color w:val="595959"/>
          <w:lang w:val="es-BO"/>
        </w:rPr>
        <w:t>15121</w:t>
      </w:r>
    </w:p>
    <w:p w14:paraId="584CB0C2" w14:textId="77777777" w:rsidR="00677850" w:rsidRPr="009462CA" w:rsidRDefault="00677850">
      <w:pPr>
        <w:rPr>
          <w:lang w:val="es-BO"/>
        </w:rPr>
      </w:pPr>
    </w:p>
    <w:tbl>
      <w:tblPr>
        <w:tblStyle w:val="Tablaconcuadrcula"/>
        <w:tblW w:w="0" w:type="auto"/>
        <w:tblLook w:val="04A0" w:firstRow="1" w:lastRow="0" w:firstColumn="1" w:lastColumn="0" w:noHBand="0" w:noVBand="1"/>
      </w:tblPr>
      <w:tblGrid>
        <w:gridCol w:w="718"/>
        <w:gridCol w:w="1389"/>
        <w:gridCol w:w="2203"/>
        <w:gridCol w:w="4575"/>
        <w:gridCol w:w="4065"/>
      </w:tblGrid>
      <w:tr w:rsidR="00677850" w14:paraId="0F1DCEB5" w14:textId="77777777" w:rsidTr="588E4E83">
        <w:tc>
          <w:tcPr>
            <w:tcW w:w="720" w:type="dxa"/>
            <w:shd w:val="clear" w:color="auto" w:fill="1F4E79"/>
            <w:tcMar>
              <w:top w:w="120" w:type="dxa"/>
              <w:left w:w="150" w:type="dxa"/>
              <w:bottom w:w="120" w:type="dxa"/>
              <w:right w:w="150" w:type="dxa"/>
            </w:tcMar>
          </w:tcPr>
          <w:p w14:paraId="1125E05D" w14:textId="77777777" w:rsidR="00677850" w:rsidRDefault="009C1DC2">
            <w:pPr>
              <w:jc w:val="center"/>
            </w:pPr>
            <w:r>
              <w:rPr>
                <w:b/>
                <w:color w:val="FFFFFF"/>
                <w:sz w:val="20"/>
              </w:rPr>
              <w:t>No.</w:t>
            </w:r>
          </w:p>
        </w:tc>
        <w:tc>
          <w:tcPr>
            <w:tcW w:w="1389" w:type="dxa"/>
            <w:shd w:val="clear" w:color="auto" w:fill="1F4E79"/>
            <w:tcMar>
              <w:top w:w="120" w:type="dxa"/>
              <w:left w:w="150" w:type="dxa"/>
              <w:bottom w:w="120" w:type="dxa"/>
              <w:right w:w="150" w:type="dxa"/>
            </w:tcMar>
          </w:tcPr>
          <w:p w14:paraId="751D1A1C" w14:textId="77777777" w:rsidR="00677850" w:rsidRDefault="009C1DC2">
            <w:pPr>
              <w:jc w:val="center"/>
            </w:pPr>
            <w:r>
              <w:rPr>
                <w:b/>
                <w:color w:val="FFFFFF"/>
                <w:sz w:val="20"/>
              </w:rPr>
              <w:t>OFERENTE</w:t>
            </w:r>
          </w:p>
        </w:tc>
        <w:tc>
          <w:tcPr>
            <w:tcW w:w="2212" w:type="dxa"/>
            <w:shd w:val="clear" w:color="auto" w:fill="1F4E79"/>
            <w:tcMar>
              <w:top w:w="120" w:type="dxa"/>
              <w:left w:w="150" w:type="dxa"/>
              <w:bottom w:w="120" w:type="dxa"/>
              <w:right w:w="150" w:type="dxa"/>
            </w:tcMar>
          </w:tcPr>
          <w:p w14:paraId="787FAB90" w14:textId="77777777" w:rsidR="00677850" w:rsidRDefault="009C1DC2">
            <w:pPr>
              <w:jc w:val="center"/>
            </w:pPr>
            <w:r>
              <w:rPr>
                <w:b/>
                <w:color w:val="FFFFFF"/>
                <w:sz w:val="20"/>
              </w:rPr>
              <w:t>TIPO DE CONSULTA</w:t>
            </w:r>
          </w:p>
        </w:tc>
        <w:tc>
          <w:tcPr>
            <w:tcW w:w="4608" w:type="dxa"/>
            <w:shd w:val="clear" w:color="auto" w:fill="1F4E79"/>
            <w:tcMar>
              <w:top w:w="120" w:type="dxa"/>
              <w:left w:w="150" w:type="dxa"/>
              <w:bottom w:w="120" w:type="dxa"/>
              <w:right w:w="150" w:type="dxa"/>
            </w:tcMar>
          </w:tcPr>
          <w:p w14:paraId="54E5BC35" w14:textId="77777777" w:rsidR="00677850" w:rsidRDefault="009C1DC2">
            <w:pPr>
              <w:jc w:val="center"/>
            </w:pPr>
            <w:r>
              <w:rPr>
                <w:b/>
                <w:color w:val="FFFFFF"/>
                <w:sz w:val="20"/>
              </w:rPr>
              <w:t>CONSULTA</w:t>
            </w:r>
          </w:p>
        </w:tc>
        <w:tc>
          <w:tcPr>
            <w:tcW w:w="4091" w:type="dxa"/>
            <w:shd w:val="clear" w:color="auto" w:fill="1F4E79"/>
            <w:tcMar>
              <w:top w:w="120" w:type="dxa"/>
              <w:left w:w="150" w:type="dxa"/>
              <w:bottom w:w="120" w:type="dxa"/>
              <w:right w:w="150" w:type="dxa"/>
            </w:tcMar>
          </w:tcPr>
          <w:p w14:paraId="0C7211B4" w14:textId="77777777" w:rsidR="00677850" w:rsidRDefault="009C1DC2">
            <w:pPr>
              <w:jc w:val="center"/>
            </w:pPr>
            <w:r>
              <w:rPr>
                <w:b/>
                <w:color w:val="FFFFFF"/>
                <w:sz w:val="20"/>
              </w:rPr>
              <w:t>RESPUESTA</w:t>
            </w:r>
          </w:p>
        </w:tc>
      </w:tr>
      <w:tr w:rsidR="00677850" w:rsidRPr="003047F2" w14:paraId="4A4A58CE" w14:textId="77777777" w:rsidTr="588E4E83">
        <w:tc>
          <w:tcPr>
            <w:tcW w:w="720" w:type="dxa"/>
            <w:shd w:val="clear" w:color="auto" w:fill="FFFFFF" w:themeFill="background1"/>
            <w:tcMar>
              <w:top w:w="100" w:type="dxa"/>
              <w:left w:w="150" w:type="dxa"/>
              <w:bottom w:w="100" w:type="dxa"/>
              <w:right w:w="150" w:type="dxa"/>
            </w:tcMar>
            <w:vAlign w:val="center"/>
          </w:tcPr>
          <w:p w14:paraId="058F9E98" w14:textId="77777777" w:rsidR="00677850" w:rsidRDefault="009C1DC2">
            <w:pPr>
              <w:jc w:val="center"/>
            </w:pPr>
            <w:r>
              <w:rPr>
                <w:color w:val="282828"/>
                <w:sz w:val="19"/>
              </w:rPr>
              <w:t>1</w:t>
            </w:r>
          </w:p>
        </w:tc>
        <w:tc>
          <w:tcPr>
            <w:tcW w:w="1389" w:type="dxa"/>
            <w:shd w:val="clear" w:color="auto" w:fill="FFFFFF" w:themeFill="background1"/>
            <w:tcMar>
              <w:top w:w="100" w:type="dxa"/>
              <w:left w:w="150" w:type="dxa"/>
              <w:bottom w:w="100" w:type="dxa"/>
              <w:right w:w="150" w:type="dxa"/>
            </w:tcMar>
            <w:vAlign w:val="center"/>
          </w:tcPr>
          <w:p w14:paraId="71C3E078"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02873EBA" w14:textId="77777777" w:rsidR="00677850" w:rsidRDefault="009C1DC2">
            <w:pPr>
              <w:jc w:val="center"/>
            </w:pPr>
            <w:r>
              <w:rPr>
                <w:color w:val="282828"/>
                <w:sz w:val="19"/>
              </w:rPr>
              <w:t>Técnica</w:t>
            </w:r>
          </w:p>
        </w:tc>
        <w:tc>
          <w:tcPr>
            <w:tcW w:w="4608" w:type="dxa"/>
            <w:shd w:val="clear" w:color="auto" w:fill="FFFFFF" w:themeFill="background1"/>
            <w:tcMar>
              <w:top w:w="100" w:type="dxa"/>
              <w:left w:w="150" w:type="dxa"/>
              <w:bottom w:w="100" w:type="dxa"/>
              <w:right w:w="150" w:type="dxa"/>
            </w:tcMar>
            <w:vAlign w:val="center"/>
          </w:tcPr>
          <w:p w14:paraId="197E250A" w14:textId="77777777" w:rsidR="00677850" w:rsidRPr="009462CA" w:rsidRDefault="009C1DC2">
            <w:pPr>
              <w:rPr>
                <w:lang w:val="es-BO"/>
              </w:rPr>
            </w:pPr>
            <w:r w:rsidRPr="73078993">
              <w:rPr>
                <w:color w:val="282828"/>
                <w:sz w:val="19"/>
                <w:szCs w:val="19"/>
                <w:lang w:val="es-BO"/>
              </w:rPr>
              <w:t>Dado que en Panamá el Ministerio de Economía y Finanzas (MEF) es la instancia que aprueba los incentivos fiscales, ¿puede GIZ confirmar y facilitar la participación del MEF como contraparte institucional desde el inicio del proyecto, particularmente en lo referente a incentivos para la compra de buses eléctricos?</w:t>
            </w:r>
          </w:p>
        </w:tc>
        <w:tc>
          <w:tcPr>
            <w:tcW w:w="4091" w:type="dxa"/>
            <w:shd w:val="clear" w:color="auto" w:fill="FFFFFF" w:themeFill="background1"/>
            <w:tcMar>
              <w:top w:w="100" w:type="dxa"/>
              <w:left w:w="150" w:type="dxa"/>
              <w:bottom w:w="100" w:type="dxa"/>
              <w:right w:w="150" w:type="dxa"/>
            </w:tcMar>
            <w:vAlign w:val="center"/>
          </w:tcPr>
          <w:p w14:paraId="175F9E58" w14:textId="0F48ECED" w:rsidR="00677850" w:rsidRPr="003047F2" w:rsidRDefault="18BBE590">
            <w:pPr>
              <w:rPr>
                <w:lang w:val="es-BO"/>
              </w:rPr>
            </w:pPr>
            <w:r w:rsidRPr="003047F2">
              <w:rPr>
                <w:lang w:val="es-BO"/>
              </w:rPr>
              <w:t>Si, se confirma la participación del MEF como contraparte institucional desde el inicio del proyecto.</w:t>
            </w:r>
            <w:r w:rsidR="79BE2438" w:rsidRPr="003047F2">
              <w:rPr>
                <w:lang w:val="es-BO"/>
              </w:rPr>
              <w:t xml:space="preserve"> </w:t>
            </w:r>
          </w:p>
        </w:tc>
      </w:tr>
      <w:tr w:rsidR="00677850" w:rsidRPr="003047F2" w14:paraId="5898B40A" w14:textId="77777777" w:rsidTr="588E4E83">
        <w:tc>
          <w:tcPr>
            <w:tcW w:w="720" w:type="dxa"/>
            <w:shd w:val="clear" w:color="auto" w:fill="F2F5F8"/>
            <w:tcMar>
              <w:top w:w="100" w:type="dxa"/>
              <w:left w:w="150" w:type="dxa"/>
              <w:bottom w:w="100" w:type="dxa"/>
              <w:right w:w="150" w:type="dxa"/>
            </w:tcMar>
            <w:vAlign w:val="center"/>
          </w:tcPr>
          <w:p w14:paraId="213DB194" w14:textId="77777777" w:rsidR="00677850" w:rsidRDefault="009C1DC2">
            <w:pPr>
              <w:jc w:val="center"/>
            </w:pPr>
            <w:r>
              <w:rPr>
                <w:color w:val="282828"/>
                <w:sz w:val="19"/>
              </w:rPr>
              <w:t>2</w:t>
            </w:r>
          </w:p>
        </w:tc>
        <w:tc>
          <w:tcPr>
            <w:tcW w:w="1389" w:type="dxa"/>
            <w:shd w:val="clear" w:color="auto" w:fill="F2F5F8"/>
            <w:tcMar>
              <w:top w:w="100" w:type="dxa"/>
              <w:left w:w="150" w:type="dxa"/>
              <w:bottom w:w="100" w:type="dxa"/>
              <w:right w:w="150" w:type="dxa"/>
            </w:tcMar>
            <w:vAlign w:val="center"/>
          </w:tcPr>
          <w:p w14:paraId="56D22CF7"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5813F465" w14:textId="77777777" w:rsidR="00677850" w:rsidRDefault="009C1DC2">
            <w:pPr>
              <w:jc w:val="center"/>
            </w:pPr>
            <w:r>
              <w:rPr>
                <w:color w:val="282828"/>
                <w:sz w:val="19"/>
              </w:rPr>
              <w:t>Técnica</w:t>
            </w:r>
          </w:p>
        </w:tc>
        <w:tc>
          <w:tcPr>
            <w:tcW w:w="4608" w:type="dxa"/>
            <w:shd w:val="clear" w:color="auto" w:fill="F2F5F8"/>
            <w:tcMar>
              <w:top w:w="100" w:type="dxa"/>
              <w:left w:w="150" w:type="dxa"/>
              <w:bottom w:w="100" w:type="dxa"/>
              <w:right w:w="150" w:type="dxa"/>
            </w:tcMar>
            <w:vAlign w:val="center"/>
          </w:tcPr>
          <w:p w14:paraId="1093996A" w14:textId="77777777" w:rsidR="00677850" w:rsidRPr="009462CA" w:rsidRDefault="009C1DC2">
            <w:pPr>
              <w:rPr>
                <w:lang w:val="es-BO"/>
              </w:rPr>
            </w:pPr>
            <w:r w:rsidRPr="009462CA">
              <w:rPr>
                <w:color w:val="282828"/>
                <w:sz w:val="19"/>
                <w:lang w:val="es-BO"/>
              </w:rPr>
              <w:t>Este estudio se enmarca en el Componente 1 del programa E-</w:t>
            </w:r>
            <w:proofErr w:type="spellStart"/>
            <w:r w:rsidRPr="009462CA">
              <w:rPr>
                <w:color w:val="282828"/>
                <w:sz w:val="19"/>
                <w:lang w:val="es-BO"/>
              </w:rPr>
              <w:t>Motion</w:t>
            </w:r>
            <w:proofErr w:type="spellEnd"/>
            <w:r w:rsidRPr="009462CA">
              <w:rPr>
                <w:color w:val="282828"/>
                <w:sz w:val="19"/>
                <w:lang w:val="es-BO"/>
              </w:rPr>
              <w:t xml:space="preserve"> (ecosistema propicio para la movilidad eléctrica), cuyos objetivos hacen especial énfasis en autobuses de transporte público. Dado que el programa contempla adicionalmente el Componente 2 (despliegue de flotas de buses eléctricos), el Componente 3 (vehículos eléctricos comerciales ligeros) y el Componente 4 (infraestructura de carga rápida urbana), agradecemos confirmar qué componentes debe cubrir el alcance de este estudio: ¿debe limitarse exclusivamente a informar el Componente 1 (transporte público y marco habilitante), o debe también considerar e informar los esquemas de incentivos y modelos de negocio aplicables a los Componentes 2, 3 y/o 4 (vehículos eléctricos privados/comerciales e infraestructura de carga de uso público)?</w:t>
            </w:r>
          </w:p>
        </w:tc>
        <w:tc>
          <w:tcPr>
            <w:tcW w:w="4091" w:type="dxa"/>
            <w:shd w:val="clear" w:color="auto" w:fill="F2F5F8"/>
            <w:tcMar>
              <w:top w:w="100" w:type="dxa"/>
              <w:left w:w="150" w:type="dxa"/>
              <w:bottom w:w="100" w:type="dxa"/>
              <w:right w:w="150" w:type="dxa"/>
            </w:tcMar>
            <w:vAlign w:val="center"/>
          </w:tcPr>
          <w:p w14:paraId="09713F5E" w14:textId="324CD1D2" w:rsidR="00677850" w:rsidRPr="009462CA" w:rsidRDefault="00276BCB">
            <w:pPr>
              <w:rPr>
                <w:lang w:val="es-BO"/>
              </w:rPr>
            </w:pPr>
            <w:r w:rsidRPr="00276BCB">
              <w:rPr>
                <w:lang w:val="es-BO"/>
              </w:rPr>
              <w:t>Si bien el estudio se ejecuta en el marco del Componente 1, su alcance no debe limitarse exclusivamente al transporte público. Deberá considerar esquemas de incentivos, modelos de negocio e instrumentos financieros aplicables a las distintas tipologías de vehículos eléctricos y a la infraestructura de carga, incluyendo flotas de buses, vehículos comerciales ligeros y estaciones de carga de uso público. Por tanto, sus resultados deberán contribuir también a orientar la implementación de los Componentes 2, 3 y 4, manteniendo una atención especial —aunque no exclusiva— en los autobuses de transporte público.</w:t>
            </w:r>
          </w:p>
        </w:tc>
      </w:tr>
      <w:tr w:rsidR="00677850" w:rsidRPr="003047F2" w14:paraId="2724332A" w14:textId="77777777" w:rsidTr="588E4E83">
        <w:tc>
          <w:tcPr>
            <w:tcW w:w="720" w:type="dxa"/>
            <w:shd w:val="clear" w:color="auto" w:fill="FFFFFF" w:themeFill="background1"/>
            <w:tcMar>
              <w:top w:w="100" w:type="dxa"/>
              <w:left w:w="150" w:type="dxa"/>
              <w:bottom w:w="100" w:type="dxa"/>
              <w:right w:w="150" w:type="dxa"/>
            </w:tcMar>
            <w:vAlign w:val="center"/>
          </w:tcPr>
          <w:p w14:paraId="753FDAFE" w14:textId="77777777" w:rsidR="00677850" w:rsidRDefault="009C1DC2">
            <w:pPr>
              <w:jc w:val="center"/>
            </w:pPr>
            <w:r>
              <w:rPr>
                <w:color w:val="282828"/>
                <w:sz w:val="19"/>
              </w:rPr>
              <w:lastRenderedPageBreak/>
              <w:t>3</w:t>
            </w:r>
          </w:p>
        </w:tc>
        <w:tc>
          <w:tcPr>
            <w:tcW w:w="1389" w:type="dxa"/>
            <w:shd w:val="clear" w:color="auto" w:fill="FFFFFF" w:themeFill="background1"/>
            <w:tcMar>
              <w:top w:w="100" w:type="dxa"/>
              <w:left w:w="150" w:type="dxa"/>
              <w:bottom w:w="100" w:type="dxa"/>
              <w:right w:w="150" w:type="dxa"/>
            </w:tcMar>
            <w:vAlign w:val="center"/>
          </w:tcPr>
          <w:p w14:paraId="2DC129AD"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66689ECC" w14:textId="77777777" w:rsidR="00677850" w:rsidRDefault="009C1DC2">
            <w:pPr>
              <w:jc w:val="center"/>
            </w:pPr>
            <w:r>
              <w:rPr>
                <w:color w:val="282828"/>
                <w:sz w:val="19"/>
              </w:rPr>
              <w:t>Técnica</w:t>
            </w:r>
          </w:p>
        </w:tc>
        <w:tc>
          <w:tcPr>
            <w:tcW w:w="4608" w:type="dxa"/>
            <w:shd w:val="clear" w:color="auto" w:fill="FFFFFF" w:themeFill="background1"/>
            <w:tcMar>
              <w:top w:w="100" w:type="dxa"/>
              <w:left w:w="150" w:type="dxa"/>
              <w:bottom w:w="100" w:type="dxa"/>
              <w:right w:w="150" w:type="dxa"/>
            </w:tcMar>
            <w:vAlign w:val="center"/>
          </w:tcPr>
          <w:p w14:paraId="56A0E6DA" w14:textId="77777777" w:rsidR="00677850" w:rsidRDefault="009C1DC2">
            <w:r w:rsidRPr="009462CA">
              <w:rPr>
                <w:color w:val="282828"/>
                <w:sz w:val="19"/>
                <w:lang w:val="es-BO"/>
              </w:rPr>
              <w:t xml:space="preserve">La tarea de análisis local exige incluir una evaluación de impacto. ¿Se espera un análisis general del efecto de estos incentivos en la adopción de vehículos eléctricos, o se requiere una modelación econométrica más profunda? </w:t>
            </w:r>
            <w:proofErr w:type="spellStart"/>
            <w:r>
              <w:rPr>
                <w:color w:val="282828"/>
                <w:sz w:val="19"/>
              </w:rPr>
              <w:t>Agradecemos</w:t>
            </w:r>
            <w:proofErr w:type="spellEnd"/>
            <w:r>
              <w:rPr>
                <w:color w:val="282828"/>
                <w:sz w:val="19"/>
              </w:rPr>
              <w:t xml:space="preserve"> </w:t>
            </w:r>
            <w:proofErr w:type="spellStart"/>
            <w:r>
              <w:rPr>
                <w:color w:val="282828"/>
                <w:sz w:val="19"/>
              </w:rPr>
              <w:t>confirmar</w:t>
            </w:r>
            <w:proofErr w:type="spellEnd"/>
            <w:r>
              <w:rPr>
                <w:color w:val="282828"/>
                <w:sz w:val="19"/>
              </w:rPr>
              <w:t xml:space="preserve"> el </w:t>
            </w:r>
            <w:proofErr w:type="spellStart"/>
            <w:r>
              <w:rPr>
                <w:color w:val="282828"/>
                <w:sz w:val="19"/>
              </w:rPr>
              <w:t>nivel</w:t>
            </w:r>
            <w:proofErr w:type="spellEnd"/>
            <w:r>
              <w:rPr>
                <w:color w:val="282828"/>
                <w:sz w:val="19"/>
              </w:rPr>
              <w:t xml:space="preserve"> de </w:t>
            </w:r>
            <w:proofErr w:type="spellStart"/>
            <w:r>
              <w:rPr>
                <w:color w:val="282828"/>
                <w:sz w:val="19"/>
              </w:rPr>
              <w:t>profundidad</w:t>
            </w:r>
            <w:proofErr w:type="spellEnd"/>
            <w:r>
              <w:rPr>
                <w:color w:val="282828"/>
                <w:sz w:val="19"/>
              </w:rPr>
              <w:t xml:space="preserve"> </w:t>
            </w:r>
            <w:proofErr w:type="spellStart"/>
            <w:r>
              <w:rPr>
                <w:color w:val="282828"/>
                <w:sz w:val="19"/>
              </w:rPr>
              <w:t>esperado</w:t>
            </w:r>
            <w:proofErr w:type="spellEnd"/>
          </w:p>
        </w:tc>
        <w:tc>
          <w:tcPr>
            <w:tcW w:w="4091" w:type="dxa"/>
            <w:shd w:val="clear" w:color="auto" w:fill="FFFFFF" w:themeFill="background1"/>
            <w:tcMar>
              <w:top w:w="100" w:type="dxa"/>
              <w:left w:w="150" w:type="dxa"/>
              <w:bottom w:w="100" w:type="dxa"/>
              <w:right w:w="150" w:type="dxa"/>
            </w:tcMar>
            <w:vAlign w:val="center"/>
          </w:tcPr>
          <w:p w14:paraId="75C524DD" w14:textId="1CC7DACC" w:rsidR="00677850" w:rsidRPr="00276BCB" w:rsidRDefault="00276BCB">
            <w:pPr>
              <w:rPr>
                <w:lang w:val="es-PY"/>
              </w:rPr>
            </w:pPr>
            <w:r w:rsidRPr="00276BCB">
              <w:rPr>
                <w:lang w:val="es-PY"/>
              </w:rPr>
              <w:t>Se espera una evaluación técnica y económica sustentada en la información disponible, que permita analizar los efectos de los incentivos sobre la adopción de vehículos eléctricos, su costo-efectividad, alcance y sostenibilidad.</w:t>
            </w:r>
            <w:r>
              <w:rPr>
                <w:lang w:val="es-PY"/>
              </w:rPr>
              <w:t xml:space="preserve"> E</w:t>
            </w:r>
            <w:r w:rsidRPr="00276BCB">
              <w:rPr>
                <w:lang w:val="es-PY"/>
              </w:rPr>
              <w:t>l análisis deberá incorporar elementos cuantitativos cuando existan datos suficientes, complementados con evidencia documental y consultas a actores clave, explicitando las limitaciones de información en cada país.</w:t>
            </w:r>
          </w:p>
        </w:tc>
      </w:tr>
      <w:tr w:rsidR="00677850" w:rsidRPr="003047F2" w14:paraId="120D47D9" w14:textId="77777777" w:rsidTr="588E4E83">
        <w:tc>
          <w:tcPr>
            <w:tcW w:w="720" w:type="dxa"/>
            <w:shd w:val="clear" w:color="auto" w:fill="F2F5F8"/>
            <w:tcMar>
              <w:top w:w="100" w:type="dxa"/>
              <w:left w:w="150" w:type="dxa"/>
              <w:bottom w:w="100" w:type="dxa"/>
              <w:right w:w="150" w:type="dxa"/>
            </w:tcMar>
            <w:vAlign w:val="center"/>
          </w:tcPr>
          <w:p w14:paraId="32CB95EB" w14:textId="77777777" w:rsidR="00677850" w:rsidRDefault="009C1DC2">
            <w:pPr>
              <w:jc w:val="center"/>
            </w:pPr>
            <w:r>
              <w:rPr>
                <w:color w:val="282828"/>
                <w:sz w:val="19"/>
              </w:rPr>
              <w:t>4</w:t>
            </w:r>
          </w:p>
        </w:tc>
        <w:tc>
          <w:tcPr>
            <w:tcW w:w="1389" w:type="dxa"/>
            <w:shd w:val="clear" w:color="auto" w:fill="F2F5F8"/>
            <w:tcMar>
              <w:top w:w="100" w:type="dxa"/>
              <w:left w:w="150" w:type="dxa"/>
              <w:bottom w:w="100" w:type="dxa"/>
              <w:right w:w="150" w:type="dxa"/>
            </w:tcMar>
            <w:vAlign w:val="center"/>
          </w:tcPr>
          <w:p w14:paraId="47433309"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7809B1DD" w14:textId="77777777" w:rsidR="00677850" w:rsidRPr="00C27D45" w:rsidRDefault="009C1DC2">
            <w:pPr>
              <w:jc w:val="center"/>
              <w:rPr>
                <w:highlight w:val="yellow"/>
              </w:rPr>
            </w:pPr>
            <w:r w:rsidRPr="00306621">
              <w:rPr>
                <w:color w:val="282828"/>
                <w:sz w:val="19"/>
              </w:rPr>
              <w:t>Técnica</w:t>
            </w:r>
          </w:p>
        </w:tc>
        <w:tc>
          <w:tcPr>
            <w:tcW w:w="4608" w:type="dxa"/>
            <w:shd w:val="clear" w:color="auto" w:fill="F2F5F8"/>
            <w:tcMar>
              <w:top w:w="100" w:type="dxa"/>
              <w:left w:w="150" w:type="dxa"/>
              <w:bottom w:w="100" w:type="dxa"/>
              <w:right w:w="150" w:type="dxa"/>
            </w:tcMar>
            <w:vAlign w:val="center"/>
          </w:tcPr>
          <w:p w14:paraId="26F96412" w14:textId="77777777" w:rsidR="00677850" w:rsidRPr="009462CA" w:rsidRDefault="009C1DC2">
            <w:pPr>
              <w:rPr>
                <w:lang w:val="es-BO"/>
              </w:rPr>
            </w:pPr>
            <w:r w:rsidRPr="009462CA">
              <w:rPr>
                <w:color w:val="282828"/>
                <w:sz w:val="19"/>
                <w:lang w:val="es-BO"/>
              </w:rPr>
              <w:t>Dentro de la concepción metodológica se solicita describir la contribución a la gestión del conocimiento "del socio" y de GIZ. Agradecemos aclarar explícitamente qué instituciones actúan como socios en cada una de las geografías de interés (Panamá, Paraguay, Uruguay).</w:t>
            </w:r>
          </w:p>
        </w:tc>
        <w:tc>
          <w:tcPr>
            <w:tcW w:w="4091" w:type="dxa"/>
            <w:shd w:val="clear" w:color="auto" w:fill="F2F5F8"/>
            <w:tcMar>
              <w:top w:w="100" w:type="dxa"/>
              <w:left w:w="150" w:type="dxa"/>
              <w:bottom w:w="100" w:type="dxa"/>
              <w:right w:w="150" w:type="dxa"/>
            </w:tcMar>
            <w:vAlign w:val="center"/>
          </w:tcPr>
          <w:p w14:paraId="26B53583" w14:textId="382D7AA5" w:rsidR="00306621" w:rsidRPr="00306621" w:rsidRDefault="00306621" w:rsidP="00306621">
            <w:pPr>
              <w:rPr>
                <w:lang w:val="es-BO"/>
              </w:rPr>
            </w:pPr>
            <w:r w:rsidRPr="00306621">
              <w:rPr>
                <w:lang w:val="es-BO"/>
              </w:rPr>
              <w:t>La expresión “gestión del conocimiento del socio” se refiere a las instituciones nacionales contrapartes y demás actores relevantes del programa E-</w:t>
            </w:r>
            <w:proofErr w:type="spellStart"/>
            <w:r w:rsidRPr="00306621">
              <w:rPr>
                <w:lang w:val="es-BO"/>
              </w:rPr>
              <w:t>Motion</w:t>
            </w:r>
            <w:proofErr w:type="spellEnd"/>
            <w:r w:rsidRPr="00306621">
              <w:rPr>
                <w:lang w:val="es-BO"/>
              </w:rPr>
              <w:t xml:space="preserve"> en Panamá, Paraguay y Uruguay. Considerando que el proyecto se encuentra en ejecución desde hace más de un año, GIZ ya cuenta con un mapeo de los principales actores y socios en cada país, que será puesto a disposición del equipo consultor.</w:t>
            </w:r>
          </w:p>
          <w:p w14:paraId="4880D8E3" w14:textId="10D29C70" w:rsidR="00677850" w:rsidRPr="009462CA" w:rsidRDefault="00306621" w:rsidP="00306621">
            <w:pPr>
              <w:rPr>
                <w:lang w:val="es-BO"/>
              </w:rPr>
            </w:pPr>
            <w:r w:rsidRPr="00306621">
              <w:rPr>
                <w:lang w:val="es-BO"/>
              </w:rPr>
              <w:t xml:space="preserve">No obstante, conforme a lo establecido en el PT1.0 y PT2.0, el contratista deberá realizar su propio mapeo de actores, que será contrastado y complementado con el elaborado por GIZ. A partir de este proceso se definirán las instituciones que participarán en las actividades de </w:t>
            </w:r>
            <w:r w:rsidRPr="00306621">
              <w:rPr>
                <w:lang w:val="es-BO"/>
              </w:rPr>
              <w:lastRenderedPageBreak/>
              <w:t>consulta, validación y gestión del conocimiento en cada país.</w:t>
            </w:r>
          </w:p>
        </w:tc>
      </w:tr>
      <w:tr w:rsidR="00677850" w:rsidRPr="003047F2" w14:paraId="7920F820" w14:textId="77777777" w:rsidTr="588E4E83">
        <w:tc>
          <w:tcPr>
            <w:tcW w:w="720" w:type="dxa"/>
            <w:shd w:val="clear" w:color="auto" w:fill="FFFFFF" w:themeFill="background1"/>
            <w:tcMar>
              <w:top w:w="100" w:type="dxa"/>
              <w:left w:w="150" w:type="dxa"/>
              <w:bottom w:w="100" w:type="dxa"/>
              <w:right w:w="150" w:type="dxa"/>
            </w:tcMar>
            <w:vAlign w:val="center"/>
          </w:tcPr>
          <w:p w14:paraId="2289F8F8" w14:textId="77777777" w:rsidR="00677850" w:rsidRDefault="009C1DC2">
            <w:pPr>
              <w:jc w:val="center"/>
            </w:pPr>
            <w:r>
              <w:rPr>
                <w:color w:val="282828"/>
                <w:sz w:val="19"/>
              </w:rPr>
              <w:lastRenderedPageBreak/>
              <w:t>5</w:t>
            </w:r>
          </w:p>
        </w:tc>
        <w:tc>
          <w:tcPr>
            <w:tcW w:w="1389" w:type="dxa"/>
            <w:shd w:val="clear" w:color="auto" w:fill="FFFFFF" w:themeFill="background1"/>
            <w:tcMar>
              <w:top w:w="100" w:type="dxa"/>
              <w:left w:w="150" w:type="dxa"/>
              <w:bottom w:w="100" w:type="dxa"/>
              <w:right w:w="150" w:type="dxa"/>
            </w:tcMar>
            <w:vAlign w:val="center"/>
          </w:tcPr>
          <w:p w14:paraId="22211138"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699E63FD" w14:textId="77777777" w:rsidR="00677850" w:rsidRDefault="009C1DC2">
            <w:pPr>
              <w:jc w:val="center"/>
            </w:pPr>
            <w:r>
              <w:rPr>
                <w:color w:val="282828"/>
                <w:sz w:val="19"/>
              </w:rPr>
              <w:t>Técnica</w:t>
            </w:r>
          </w:p>
        </w:tc>
        <w:tc>
          <w:tcPr>
            <w:tcW w:w="4608" w:type="dxa"/>
            <w:shd w:val="clear" w:color="auto" w:fill="FFFFFF" w:themeFill="background1"/>
            <w:tcMar>
              <w:top w:w="100" w:type="dxa"/>
              <w:left w:w="150" w:type="dxa"/>
              <w:bottom w:w="100" w:type="dxa"/>
              <w:right w:w="150" w:type="dxa"/>
            </w:tcMar>
            <w:vAlign w:val="center"/>
          </w:tcPr>
          <w:p w14:paraId="7C6EC828" w14:textId="77777777" w:rsidR="00677850" w:rsidRPr="009462CA" w:rsidRDefault="009C1DC2">
            <w:pPr>
              <w:rPr>
                <w:lang w:val="es-BO"/>
              </w:rPr>
            </w:pPr>
            <w:r w:rsidRPr="009462CA">
              <w:rPr>
                <w:color w:val="282828"/>
                <w:sz w:val="19"/>
                <w:lang w:val="es-BO"/>
              </w:rPr>
              <w:t>Más allá de los incentivos fiscales, ¿se espera que el análisis de esquemas de incentivos incluya también mecanismos no fiscales (por ejemplo, esquemas tarifarios o de gestión de demanda eléctrica para infraestructura de carga en edificios residenciales), o el alcance se limita a instrumentos fiscales y de financiamiento?</w:t>
            </w:r>
          </w:p>
        </w:tc>
        <w:tc>
          <w:tcPr>
            <w:tcW w:w="4091" w:type="dxa"/>
            <w:shd w:val="clear" w:color="auto" w:fill="FFFFFF" w:themeFill="background1"/>
            <w:tcMar>
              <w:top w:w="100" w:type="dxa"/>
              <w:left w:w="150" w:type="dxa"/>
              <w:bottom w:w="100" w:type="dxa"/>
              <w:right w:w="150" w:type="dxa"/>
            </w:tcMar>
            <w:vAlign w:val="center"/>
          </w:tcPr>
          <w:p w14:paraId="4101B246" w14:textId="172BD34E" w:rsidR="00677850" w:rsidRPr="009462CA" w:rsidRDefault="00276BCB">
            <w:pPr>
              <w:rPr>
                <w:lang w:val="es-BO"/>
              </w:rPr>
            </w:pPr>
            <w:r w:rsidRPr="00276BCB">
              <w:rPr>
                <w:lang w:val="es-BO"/>
              </w:rPr>
              <w:t>También podrán analizarse mecanismos no fiscales que resulten relevantes para promover la adopción de vehículos eléctricos y el despliegue de infraestructura de carga, incluidos esquemas tarifarios, regulatorios o de gestión de la demanda. Estos deberán abordarse cuando sean pertinentes para los contextos nacionales y estén directamente vinculados con los objetivos del estudio, sin extenderse a un análisis técnico detallado del sistema eléctrico.</w:t>
            </w:r>
          </w:p>
        </w:tc>
      </w:tr>
      <w:tr w:rsidR="00677850" w:rsidRPr="00276BCB" w14:paraId="6D422351" w14:textId="77777777" w:rsidTr="588E4E83">
        <w:tc>
          <w:tcPr>
            <w:tcW w:w="720" w:type="dxa"/>
            <w:shd w:val="clear" w:color="auto" w:fill="F2F5F8"/>
            <w:tcMar>
              <w:top w:w="100" w:type="dxa"/>
              <w:left w:w="150" w:type="dxa"/>
              <w:bottom w:w="100" w:type="dxa"/>
              <w:right w:w="150" w:type="dxa"/>
            </w:tcMar>
            <w:vAlign w:val="center"/>
          </w:tcPr>
          <w:p w14:paraId="00DBD585" w14:textId="77777777" w:rsidR="00677850" w:rsidRDefault="009C1DC2">
            <w:pPr>
              <w:jc w:val="center"/>
            </w:pPr>
            <w:r>
              <w:rPr>
                <w:color w:val="282828"/>
                <w:sz w:val="19"/>
              </w:rPr>
              <w:t>6</w:t>
            </w:r>
          </w:p>
        </w:tc>
        <w:tc>
          <w:tcPr>
            <w:tcW w:w="1389" w:type="dxa"/>
            <w:shd w:val="clear" w:color="auto" w:fill="F2F5F8"/>
            <w:tcMar>
              <w:top w:w="100" w:type="dxa"/>
              <w:left w:w="150" w:type="dxa"/>
              <w:bottom w:w="100" w:type="dxa"/>
              <w:right w:w="150" w:type="dxa"/>
            </w:tcMar>
            <w:vAlign w:val="center"/>
          </w:tcPr>
          <w:p w14:paraId="0C9B0664"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3250F136" w14:textId="77777777" w:rsidR="00677850" w:rsidRDefault="009C1DC2">
            <w:pPr>
              <w:jc w:val="center"/>
            </w:pPr>
            <w:r>
              <w:rPr>
                <w:color w:val="282828"/>
                <w:sz w:val="19"/>
              </w:rPr>
              <w:t>Técnica</w:t>
            </w:r>
          </w:p>
        </w:tc>
        <w:tc>
          <w:tcPr>
            <w:tcW w:w="4608" w:type="dxa"/>
            <w:shd w:val="clear" w:color="auto" w:fill="F2F5F8"/>
            <w:tcMar>
              <w:top w:w="100" w:type="dxa"/>
              <w:left w:w="150" w:type="dxa"/>
              <w:bottom w:w="100" w:type="dxa"/>
              <w:right w:w="150" w:type="dxa"/>
            </w:tcMar>
            <w:vAlign w:val="center"/>
          </w:tcPr>
          <w:p w14:paraId="66428383" w14:textId="77777777" w:rsidR="00677850" w:rsidRPr="009462CA" w:rsidRDefault="009C1DC2">
            <w:pPr>
              <w:rPr>
                <w:lang w:val="es-BO"/>
              </w:rPr>
            </w:pPr>
            <w:r w:rsidRPr="73078993">
              <w:rPr>
                <w:color w:val="282828"/>
                <w:sz w:val="19"/>
                <w:szCs w:val="19"/>
                <w:lang w:val="es-BO"/>
              </w:rPr>
              <w:t>Para la evaluación de impacto de los incentivos fiscales ya otorgados (ej. exoneraciones de importación en Panamá), en caso de que la información oficial desagregada de las autoridades tributarias no esté disponible en un plazo razonable, ¿es aceptable que el equipo consultor recurra a estimaciones basadas en fuentes secundarias e información pública, dejando explícitamente la metodología y sus limitaciones?</w:t>
            </w:r>
          </w:p>
        </w:tc>
        <w:tc>
          <w:tcPr>
            <w:tcW w:w="4091" w:type="dxa"/>
            <w:shd w:val="clear" w:color="auto" w:fill="F2F5F8"/>
            <w:tcMar>
              <w:top w:w="100" w:type="dxa"/>
              <w:left w:w="150" w:type="dxa"/>
              <w:bottom w:w="100" w:type="dxa"/>
              <w:right w:w="150" w:type="dxa"/>
            </w:tcMar>
            <w:vAlign w:val="center"/>
          </w:tcPr>
          <w:p w14:paraId="20BC2773" w14:textId="6F656BCA" w:rsidR="00677850" w:rsidRPr="009462CA" w:rsidRDefault="5EAB1BA9" w:rsidP="57C533AB">
            <w:proofErr w:type="spellStart"/>
            <w:r w:rsidRPr="57C533AB">
              <w:t>S</w:t>
            </w:r>
            <w:r w:rsidR="6B7402DC" w:rsidRPr="57C533AB">
              <w:t>í</w:t>
            </w:r>
            <w:proofErr w:type="spellEnd"/>
            <w:r w:rsidR="6B7402DC" w:rsidRPr="57C533AB">
              <w:t>,</w:t>
            </w:r>
            <w:r w:rsidRPr="57C533AB">
              <w:t xml:space="preserve"> es </w:t>
            </w:r>
            <w:proofErr w:type="spellStart"/>
            <w:r w:rsidRPr="57C533AB">
              <w:t>aceptable</w:t>
            </w:r>
            <w:proofErr w:type="spellEnd"/>
            <w:r w:rsidRPr="57C533AB">
              <w:t xml:space="preserve">. </w:t>
            </w:r>
          </w:p>
        </w:tc>
      </w:tr>
      <w:tr w:rsidR="00677850" w:rsidRPr="003047F2" w14:paraId="2FD112A7" w14:textId="77777777" w:rsidTr="588E4E83">
        <w:tc>
          <w:tcPr>
            <w:tcW w:w="720" w:type="dxa"/>
            <w:shd w:val="clear" w:color="auto" w:fill="FFFFFF" w:themeFill="background1"/>
            <w:tcMar>
              <w:top w:w="100" w:type="dxa"/>
              <w:left w:w="150" w:type="dxa"/>
              <w:bottom w:w="100" w:type="dxa"/>
              <w:right w:w="150" w:type="dxa"/>
            </w:tcMar>
            <w:vAlign w:val="center"/>
          </w:tcPr>
          <w:p w14:paraId="1D51D1A4" w14:textId="77777777" w:rsidR="00677850" w:rsidRDefault="009C1DC2">
            <w:pPr>
              <w:jc w:val="center"/>
            </w:pPr>
            <w:r>
              <w:rPr>
                <w:color w:val="282828"/>
                <w:sz w:val="19"/>
              </w:rPr>
              <w:t>7</w:t>
            </w:r>
          </w:p>
        </w:tc>
        <w:tc>
          <w:tcPr>
            <w:tcW w:w="1389" w:type="dxa"/>
            <w:shd w:val="clear" w:color="auto" w:fill="FFFFFF" w:themeFill="background1"/>
            <w:tcMar>
              <w:top w:w="100" w:type="dxa"/>
              <w:left w:w="150" w:type="dxa"/>
              <w:bottom w:w="100" w:type="dxa"/>
              <w:right w:w="150" w:type="dxa"/>
            </w:tcMar>
            <w:vAlign w:val="center"/>
          </w:tcPr>
          <w:p w14:paraId="66E433C1"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5BA24F46" w14:textId="77777777" w:rsidR="00677850" w:rsidRDefault="009C1DC2">
            <w:pPr>
              <w:jc w:val="center"/>
            </w:pPr>
            <w:r>
              <w:rPr>
                <w:color w:val="282828"/>
                <w:sz w:val="19"/>
              </w:rPr>
              <w:t>Técnica</w:t>
            </w:r>
          </w:p>
        </w:tc>
        <w:tc>
          <w:tcPr>
            <w:tcW w:w="4608" w:type="dxa"/>
            <w:shd w:val="clear" w:color="auto" w:fill="FFFFFF" w:themeFill="background1"/>
            <w:tcMar>
              <w:top w:w="100" w:type="dxa"/>
              <w:left w:w="150" w:type="dxa"/>
              <w:bottom w:w="100" w:type="dxa"/>
              <w:right w:w="150" w:type="dxa"/>
            </w:tcMar>
            <w:vAlign w:val="center"/>
          </w:tcPr>
          <w:p w14:paraId="7CC81A4D" w14:textId="77777777" w:rsidR="00677850" w:rsidRPr="009462CA" w:rsidRDefault="009C1DC2">
            <w:pPr>
              <w:rPr>
                <w:lang w:val="es-BO"/>
              </w:rPr>
            </w:pPr>
            <w:r w:rsidRPr="009462CA">
              <w:rPr>
                <w:color w:val="282828"/>
                <w:sz w:val="19"/>
                <w:lang w:val="es-BO"/>
              </w:rPr>
              <w:t>Dado que el marco normativo de Paraguay (Leyes 6925/7617) es aún reciente y menos consolidado que el de Uruguay, ¿espera GIZ que el análisis para Paraguay se equipare en profundidad al de países con mayor madurez regulatoria, o se admite un enfoque diferenciado que reconozca el estado incipiente de implementación en el país?</w:t>
            </w:r>
          </w:p>
        </w:tc>
        <w:tc>
          <w:tcPr>
            <w:tcW w:w="4091" w:type="dxa"/>
            <w:shd w:val="clear" w:color="auto" w:fill="FFFFFF" w:themeFill="background1"/>
            <w:tcMar>
              <w:top w:w="100" w:type="dxa"/>
              <w:left w:w="150" w:type="dxa"/>
              <w:bottom w:w="100" w:type="dxa"/>
              <w:right w:w="150" w:type="dxa"/>
            </w:tcMar>
            <w:vAlign w:val="center"/>
          </w:tcPr>
          <w:p w14:paraId="23A5EF11" w14:textId="101E72EA" w:rsidR="00677850" w:rsidRPr="009462CA" w:rsidRDefault="00C6201F">
            <w:pPr>
              <w:rPr>
                <w:lang w:val="es-BO"/>
              </w:rPr>
            </w:pPr>
            <w:r w:rsidRPr="00C6201F">
              <w:rPr>
                <w:lang w:val="es-BO"/>
              </w:rPr>
              <w:t xml:space="preserve">Se admite y se espera un enfoque diferenciado por país, acorde con el grado de madurez de su marco normativo, institucional y de mercado. En el caso de Paraguay, el análisis deberá considerar el carácter reciente de las Leyes 6925 y 7617, examinando su estado de reglamentación e implementación, las </w:t>
            </w:r>
            <w:r w:rsidRPr="00C6201F">
              <w:rPr>
                <w:lang w:val="es-BO"/>
              </w:rPr>
              <w:lastRenderedPageBreak/>
              <w:t>brechas existentes y las condiciones necesarias para su aplicación efectiva. La profundidad metodológica deberá ser comparable entre los países, pero el contenido y los criterios de evaluación deberán adaptarse a la disponibilidad de información y al contexto nacional.</w:t>
            </w:r>
          </w:p>
        </w:tc>
      </w:tr>
      <w:tr w:rsidR="00677850" w:rsidRPr="003047F2" w14:paraId="399986FD" w14:textId="77777777" w:rsidTr="588E4E83">
        <w:tc>
          <w:tcPr>
            <w:tcW w:w="720" w:type="dxa"/>
            <w:shd w:val="clear" w:color="auto" w:fill="F2F5F8"/>
            <w:tcMar>
              <w:top w:w="100" w:type="dxa"/>
              <w:left w:w="150" w:type="dxa"/>
              <w:bottom w:w="100" w:type="dxa"/>
              <w:right w:w="150" w:type="dxa"/>
            </w:tcMar>
            <w:vAlign w:val="center"/>
          </w:tcPr>
          <w:p w14:paraId="02C56258" w14:textId="77777777" w:rsidR="00677850" w:rsidRDefault="009C1DC2">
            <w:pPr>
              <w:jc w:val="center"/>
            </w:pPr>
            <w:r>
              <w:rPr>
                <w:color w:val="282828"/>
                <w:sz w:val="19"/>
              </w:rPr>
              <w:lastRenderedPageBreak/>
              <w:t>8</w:t>
            </w:r>
          </w:p>
        </w:tc>
        <w:tc>
          <w:tcPr>
            <w:tcW w:w="1389" w:type="dxa"/>
            <w:shd w:val="clear" w:color="auto" w:fill="F2F5F8"/>
            <w:tcMar>
              <w:top w:w="100" w:type="dxa"/>
              <w:left w:w="150" w:type="dxa"/>
              <w:bottom w:w="100" w:type="dxa"/>
              <w:right w:w="150" w:type="dxa"/>
            </w:tcMar>
            <w:vAlign w:val="center"/>
          </w:tcPr>
          <w:p w14:paraId="695A7CFE"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4F7A10DD" w14:textId="77777777" w:rsidR="00677850" w:rsidRDefault="009C1DC2">
            <w:pPr>
              <w:jc w:val="center"/>
            </w:pPr>
            <w:r>
              <w:rPr>
                <w:color w:val="282828"/>
                <w:sz w:val="19"/>
              </w:rPr>
              <w:t>Técnica</w:t>
            </w:r>
          </w:p>
        </w:tc>
        <w:tc>
          <w:tcPr>
            <w:tcW w:w="4608" w:type="dxa"/>
            <w:shd w:val="clear" w:color="auto" w:fill="F2F5F8"/>
            <w:tcMar>
              <w:top w:w="100" w:type="dxa"/>
              <w:left w:w="150" w:type="dxa"/>
              <w:bottom w:w="100" w:type="dxa"/>
              <w:right w:w="150" w:type="dxa"/>
            </w:tcMar>
            <w:vAlign w:val="center"/>
          </w:tcPr>
          <w:p w14:paraId="18E5D10B" w14:textId="77777777" w:rsidR="00677850" w:rsidRPr="009462CA" w:rsidRDefault="009C1DC2">
            <w:pPr>
              <w:rPr>
                <w:lang w:val="es-BO"/>
              </w:rPr>
            </w:pPr>
            <w:r w:rsidRPr="009462CA">
              <w:rPr>
                <w:color w:val="282828"/>
                <w:sz w:val="19"/>
                <w:lang w:val="es-BO"/>
              </w:rPr>
              <w:t>A nivel de informes, agradecemos aclarar si cada entregable (por ejemplo, PT1.1/PT2.1 sobre buenas prácticas, o PT1.3/PT2.3 sobre análisis de experiencias nacionales) debe desarrollarse como un documento único que cubra de manera integrada los tres países de interés (Panamá, Paraguay y Uruguay), o si se espera un entregable independiente por país para cada uno de los productos del Paquete de Trabajo 1 y del Paquete de Trabajo 2.</w:t>
            </w:r>
          </w:p>
        </w:tc>
        <w:tc>
          <w:tcPr>
            <w:tcW w:w="4091" w:type="dxa"/>
            <w:shd w:val="clear" w:color="auto" w:fill="F2F5F8"/>
            <w:tcMar>
              <w:top w:w="100" w:type="dxa"/>
              <w:left w:w="150" w:type="dxa"/>
              <w:bottom w:w="100" w:type="dxa"/>
              <w:right w:w="150" w:type="dxa"/>
            </w:tcMar>
            <w:vAlign w:val="center"/>
          </w:tcPr>
          <w:p w14:paraId="439155E8" w14:textId="384044FA" w:rsidR="00677850" w:rsidRPr="009462CA" w:rsidRDefault="00C6201F">
            <w:pPr>
              <w:rPr>
                <w:lang w:val="es-BO"/>
              </w:rPr>
            </w:pPr>
            <w:r w:rsidRPr="00C6201F">
              <w:rPr>
                <w:lang w:val="es-BO"/>
              </w:rPr>
              <w:t>Los entregables podrán presentarse en un único documento integrado para los tres países. No obstante, se espera que los contenidos correspondientes a Panamá, Paraguay y Uruguay se desarrollen en apartados claramente diferenciados, de manera que puedan identificarse con claridad los análisis, hallazgos y recomendaciones específicos para cada contexto nacional.</w:t>
            </w:r>
          </w:p>
        </w:tc>
      </w:tr>
      <w:tr w:rsidR="00677850" w:rsidRPr="003047F2" w14:paraId="3DB77291" w14:textId="77777777" w:rsidTr="588E4E83">
        <w:tc>
          <w:tcPr>
            <w:tcW w:w="720" w:type="dxa"/>
            <w:shd w:val="clear" w:color="auto" w:fill="FFFFFF" w:themeFill="background1"/>
            <w:tcMar>
              <w:top w:w="100" w:type="dxa"/>
              <w:left w:w="150" w:type="dxa"/>
              <w:bottom w:w="100" w:type="dxa"/>
              <w:right w:w="150" w:type="dxa"/>
            </w:tcMar>
            <w:vAlign w:val="center"/>
          </w:tcPr>
          <w:p w14:paraId="51DC6C5B" w14:textId="77777777" w:rsidR="00677850" w:rsidRDefault="009C1DC2">
            <w:pPr>
              <w:jc w:val="center"/>
            </w:pPr>
            <w:r>
              <w:rPr>
                <w:color w:val="282828"/>
                <w:sz w:val="19"/>
              </w:rPr>
              <w:t>9</w:t>
            </w:r>
          </w:p>
        </w:tc>
        <w:tc>
          <w:tcPr>
            <w:tcW w:w="1389" w:type="dxa"/>
            <w:shd w:val="clear" w:color="auto" w:fill="FFFFFF" w:themeFill="background1"/>
            <w:tcMar>
              <w:top w:w="100" w:type="dxa"/>
              <w:left w:w="150" w:type="dxa"/>
              <w:bottom w:w="100" w:type="dxa"/>
              <w:right w:w="150" w:type="dxa"/>
            </w:tcMar>
            <w:vAlign w:val="center"/>
          </w:tcPr>
          <w:p w14:paraId="1035ADBD"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7656D47E" w14:textId="4AF2BF21" w:rsidR="00677850" w:rsidRDefault="009C1DC2">
            <w:pPr>
              <w:jc w:val="center"/>
            </w:pPr>
            <w:proofErr w:type="spellStart"/>
            <w:r>
              <w:rPr>
                <w:color w:val="282828"/>
                <w:sz w:val="19"/>
              </w:rPr>
              <w:t>Administrativa</w:t>
            </w:r>
            <w:proofErr w:type="spellEnd"/>
          </w:p>
        </w:tc>
        <w:tc>
          <w:tcPr>
            <w:tcW w:w="4608" w:type="dxa"/>
            <w:shd w:val="clear" w:color="auto" w:fill="FFFFFF" w:themeFill="background1"/>
            <w:tcMar>
              <w:top w:w="100" w:type="dxa"/>
              <w:left w:w="150" w:type="dxa"/>
              <w:bottom w:w="100" w:type="dxa"/>
              <w:right w:w="150" w:type="dxa"/>
            </w:tcMar>
            <w:vAlign w:val="center"/>
          </w:tcPr>
          <w:p w14:paraId="7C22E5BF" w14:textId="77777777" w:rsidR="00677850" w:rsidRPr="009462CA" w:rsidRDefault="009C1DC2">
            <w:pPr>
              <w:rPr>
                <w:lang w:val="es-BO"/>
              </w:rPr>
            </w:pPr>
            <w:r w:rsidRPr="009462CA">
              <w:rPr>
                <w:color w:val="282828"/>
                <w:sz w:val="19"/>
                <w:lang w:val="es-BO"/>
              </w:rPr>
              <w:t>El documento de Instrucciones establece que la oferta financiera debe presentarse en moneda nacional, en bolivianos, mientras que los Términos de Referencia indican que la oferta de precios debe presentarse en dólares. Solicitamos confirmar cuál es la moneda válida para la presentación de la propuesta económica.</w:t>
            </w:r>
          </w:p>
        </w:tc>
        <w:tc>
          <w:tcPr>
            <w:tcW w:w="4091" w:type="dxa"/>
            <w:shd w:val="clear" w:color="auto" w:fill="FFFFFF" w:themeFill="background1"/>
            <w:tcMar>
              <w:top w:w="100" w:type="dxa"/>
              <w:left w:w="150" w:type="dxa"/>
              <w:bottom w:w="100" w:type="dxa"/>
              <w:right w:w="150" w:type="dxa"/>
            </w:tcMar>
            <w:vAlign w:val="center"/>
          </w:tcPr>
          <w:p w14:paraId="61D4D9E1" w14:textId="1838EB6E" w:rsidR="00677850" w:rsidRPr="009462CA" w:rsidRDefault="009462CA">
            <w:pPr>
              <w:rPr>
                <w:sz w:val="18"/>
                <w:szCs w:val="18"/>
                <w:lang w:val="es-BO"/>
              </w:rPr>
            </w:pPr>
            <w:r w:rsidRPr="009462CA">
              <w:rPr>
                <w:sz w:val="18"/>
                <w:szCs w:val="18"/>
                <w:lang w:val="es-BO"/>
              </w:rPr>
              <w:t xml:space="preserve">La oferta debe presentarse en dólares estadounidenses como indican los </w:t>
            </w:r>
            <w:proofErr w:type="spellStart"/>
            <w:r w:rsidRPr="009462CA">
              <w:rPr>
                <w:sz w:val="18"/>
                <w:szCs w:val="18"/>
                <w:lang w:val="es-BO"/>
              </w:rPr>
              <w:t>TDRs</w:t>
            </w:r>
            <w:proofErr w:type="spellEnd"/>
            <w:r>
              <w:rPr>
                <w:sz w:val="18"/>
                <w:szCs w:val="18"/>
                <w:lang w:val="es-BO"/>
              </w:rPr>
              <w:t xml:space="preserve">, </w:t>
            </w:r>
            <w:r w:rsidRPr="009462CA">
              <w:rPr>
                <w:sz w:val="18"/>
                <w:szCs w:val="18"/>
                <w:lang w:val="es-BO"/>
              </w:rPr>
              <w:t>el documento de instru</w:t>
            </w:r>
            <w:r>
              <w:rPr>
                <w:sz w:val="18"/>
                <w:szCs w:val="18"/>
                <w:lang w:val="es-BO"/>
              </w:rPr>
              <w:t>cc</w:t>
            </w:r>
            <w:r w:rsidRPr="009462CA">
              <w:rPr>
                <w:sz w:val="18"/>
                <w:szCs w:val="18"/>
                <w:lang w:val="es-BO"/>
              </w:rPr>
              <w:t>iones ha sido corregido</w:t>
            </w:r>
          </w:p>
        </w:tc>
      </w:tr>
      <w:tr w:rsidR="00677850" w:rsidRPr="003047F2" w14:paraId="5DF0658F" w14:textId="77777777" w:rsidTr="588E4E83">
        <w:tc>
          <w:tcPr>
            <w:tcW w:w="720" w:type="dxa"/>
            <w:shd w:val="clear" w:color="auto" w:fill="F2F5F8"/>
            <w:tcMar>
              <w:top w:w="100" w:type="dxa"/>
              <w:left w:w="150" w:type="dxa"/>
              <w:bottom w:w="100" w:type="dxa"/>
              <w:right w:w="150" w:type="dxa"/>
            </w:tcMar>
            <w:vAlign w:val="center"/>
          </w:tcPr>
          <w:p w14:paraId="41B2F8BF" w14:textId="77777777" w:rsidR="00677850" w:rsidRDefault="009C1DC2">
            <w:pPr>
              <w:jc w:val="center"/>
            </w:pPr>
            <w:r>
              <w:rPr>
                <w:color w:val="282828"/>
                <w:sz w:val="19"/>
              </w:rPr>
              <w:t>10</w:t>
            </w:r>
          </w:p>
        </w:tc>
        <w:tc>
          <w:tcPr>
            <w:tcW w:w="1389" w:type="dxa"/>
            <w:shd w:val="clear" w:color="auto" w:fill="F2F5F8"/>
            <w:tcMar>
              <w:top w:w="100" w:type="dxa"/>
              <w:left w:w="150" w:type="dxa"/>
              <w:bottom w:w="100" w:type="dxa"/>
              <w:right w:w="150" w:type="dxa"/>
            </w:tcMar>
            <w:vAlign w:val="center"/>
          </w:tcPr>
          <w:p w14:paraId="09FD8996"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5E93FCEF" w14:textId="4E0848D8" w:rsidR="00677850" w:rsidRDefault="009C1DC2">
            <w:pPr>
              <w:jc w:val="center"/>
            </w:pPr>
            <w:r>
              <w:rPr>
                <w:color w:val="282828"/>
                <w:sz w:val="19"/>
              </w:rPr>
              <w:t>Técni</w:t>
            </w:r>
            <w:r w:rsidR="009462CA">
              <w:rPr>
                <w:color w:val="282828"/>
                <w:sz w:val="19"/>
              </w:rPr>
              <w:t>ca</w:t>
            </w:r>
          </w:p>
        </w:tc>
        <w:tc>
          <w:tcPr>
            <w:tcW w:w="4608" w:type="dxa"/>
            <w:shd w:val="clear" w:color="auto" w:fill="F2F5F8"/>
            <w:tcMar>
              <w:top w:w="100" w:type="dxa"/>
              <w:left w:w="150" w:type="dxa"/>
              <w:bottom w:w="100" w:type="dxa"/>
              <w:right w:w="150" w:type="dxa"/>
            </w:tcMar>
            <w:vAlign w:val="center"/>
          </w:tcPr>
          <w:p w14:paraId="6E5B3490" w14:textId="77777777" w:rsidR="00677850" w:rsidRPr="009462CA" w:rsidRDefault="009C1DC2">
            <w:pPr>
              <w:rPr>
                <w:lang w:val="es-BO"/>
              </w:rPr>
            </w:pPr>
            <w:r w:rsidRPr="009462CA">
              <w:rPr>
                <w:color w:val="282828"/>
                <w:sz w:val="19"/>
                <w:lang w:val="es-BO"/>
              </w:rPr>
              <w:t xml:space="preserve">El </w:t>
            </w:r>
            <w:proofErr w:type="spellStart"/>
            <w:r w:rsidRPr="009462CA">
              <w:rPr>
                <w:color w:val="282828"/>
                <w:sz w:val="19"/>
                <w:lang w:val="es-BO"/>
              </w:rPr>
              <w:t>TdR</w:t>
            </w:r>
            <w:proofErr w:type="spellEnd"/>
            <w:r w:rsidRPr="009462CA">
              <w:rPr>
                <w:color w:val="282828"/>
                <w:sz w:val="19"/>
                <w:lang w:val="es-BO"/>
              </w:rPr>
              <w:t xml:space="preserve"> indica que "el contratista pondrá a disposición bienes de equipo y consumo y asumirá los costos de operación y administración de </w:t>
            </w:r>
            <w:proofErr w:type="gramStart"/>
            <w:r w:rsidRPr="009462CA">
              <w:rPr>
                <w:color w:val="282828"/>
                <w:sz w:val="19"/>
                <w:lang w:val="es-BO"/>
              </w:rPr>
              <w:t>los mismos</w:t>
            </w:r>
            <w:proofErr w:type="gramEnd"/>
            <w:r w:rsidRPr="009462CA">
              <w:rPr>
                <w:color w:val="282828"/>
                <w:sz w:val="19"/>
                <w:lang w:val="es-BO"/>
              </w:rPr>
              <w:t>". ¿A qué se refiere específicamente el término "bienes de equipo"? Adicionalmente, para las actividades presenciales, ¿GIZ o las instituciones locales pondrán a disposición los espacios, o el equipo consultor deberá gestionarlos directamente?</w:t>
            </w:r>
          </w:p>
        </w:tc>
        <w:tc>
          <w:tcPr>
            <w:tcW w:w="4091" w:type="dxa"/>
            <w:shd w:val="clear" w:color="auto" w:fill="F2F5F8"/>
            <w:tcMar>
              <w:top w:w="100" w:type="dxa"/>
              <w:left w:w="150" w:type="dxa"/>
              <w:bottom w:w="100" w:type="dxa"/>
              <w:right w:w="150" w:type="dxa"/>
            </w:tcMar>
            <w:vAlign w:val="center"/>
          </w:tcPr>
          <w:p w14:paraId="754BAC46" w14:textId="77777777" w:rsidR="00C6201F" w:rsidRPr="00C6201F" w:rsidRDefault="00C6201F" w:rsidP="00C6201F">
            <w:pPr>
              <w:rPr>
                <w:lang w:val="es-BO"/>
              </w:rPr>
            </w:pPr>
            <w:r w:rsidRPr="00C6201F">
              <w:rPr>
                <w:lang w:val="es-BO"/>
              </w:rPr>
              <w:t xml:space="preserve">El término “bienes de equipo y consumo” se refiere a los recursos necesarios para ejecutar la consultoría, tales como computadoras, software, equipos de comunicación y materiales de oficina o de apoyo para las actividades. No se prevé la adquisición de </w:t>
            </w:r>
            <w:r w:rsidRPr="00C6201F">
              <w:rPr>
                <w:lang w:val="es-BO"/>
              </w:rPr>
              <w:lastRenderedPageBreak/>
              <w:t>equipamiento especializado para el programa.</w:t>
            </w:r>
          </w:p>
          <w:p w14:paraId="731CEED7" w14:textId="77777777" w:rsidR="00C6201F" w:rsidRPr="00C6201F" w:rsidRDefault="00C6201F" w:rsidP="00C6201F">
            <w:pPr>
              <w:rPr>
                <w:lang w:val="es-BO"/>
              </w:rPr>
            </w:pPr>
          </w:p>
          <w:p w14:paraId="3BFC6D0D" w14:textId="3803A039" w:rsidR="00677850" w:rsidRPr="009462CA" w:rsidRDefault="00C6201F" w:rsidP="00C6201F">
            <w:pPr>
              <w:rPr>
                <w:lang w:val="es-BO"/>
              </w:rPr>
            </w:pPr>
            <w:r w:rsidRPr="00C6201F">
              <w:rPr>
                <w:lang w:val="es-BO"/>
              </w:rPr>
              <w:t>Los talleres presenciales se realizarán preferentemente en las oficinas de GIZ o CAF, sujeto a disponibilidad. GIZ podrá facilitar el contacto y apoyar la reserva de estos espacios; no obstante, el equipo consultor deberá coordinar su organización y asumir los demás aspectos logísticos previstos, incluido el servicio de catering.</w:t>
            </w:r>
          </w:p>
        </w:tc>
      </w:tr>
      <w:tr w:rsidR="00677850" w:rsidRPr="003047F2" w14:paraId="2EA4D32E" w14:textId="77777777" w:rsidTr="588E4E83">
        <w:tc>
          <w:tcPr>
            <w:tcW w:w="720" w:type="dxa"/>
            <w:shd w:val="clear" w:color="auto" w:fill="FFFFFF" w:themeFill="background1"/>
            <w:tcMar>
              <w:top w:w="100" w:type="dxa"/>
              <w:left w:w="150" w:type="dxa"/>
              <w:bottom w:w="100" w:type="dxa"/>
              <w:right w:w="150" w:type="dxa"/>
            </w:tcMar>
            <w:vAlign w:val="center"/>
          </w:tcPr>
          <w:p w14:paraId="6A7516FB" w14:textId="77777777" w:rsidR="00677850" w:rsidRDefault="009C1DC2">
            <w:pPr>
              <w:jc w:val="center"/>
            </w:pPr>
            <w:r>
              <w:rPr>
                <w:color w:val="282828"/>
                <w:sz w:val="19"/>
              </w:rPr>
              <w:lastRenderedPageBreak/>
              <w:t>11</w:t>
            </w:r>
          </w:p>
        </w:tc>
        <w:tc>
          <w:tcPr>
            <w:tcW w:w="1389" w:type="dxa"/>
            <w:shd w:val="clear" w:color="auto" w:fill="FFFFFF" w:themeFill="background1"/>
            <w:tcMar>
              <w:top w:w="100" w:type="dxa"/>
              <w:left w:w="150" w:type="dxa"/>
              <w:bottom w:w="100" w:type="dxa"/>
              <w:right w:w="150" w:type="dxa"/>
            </w:tcMar>
            <w:vAlign w:val="center"/>
          </w:tcPr>
          <w:p w14:paraId="28FF9AF0"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70E7B769" w14:textId="75BBE09E" w:rsidR="00677850" w:rsidRPr="002B5A87" w:rsidRDefault="009462CA">
            <w:pPr>
              <w:jc w:val="center"/>
            </w:pPr>
            <w:r w:rsidRPr="002B5A87">
              <w:t>Técnica</w:t>
            </w:r>
          </w:p>
        </w:tc>
        <w:tc>
          <w:tcPr>
            <w:tcW w:w="4608" w:type="dxa"/>
            <w:shd w:val="clear" w:color="auto" w:fill="FFFFFF" w:themeFill="background1"/>
            <w:tcMar>
              <w:top w:w="100" w:type="dxa"/>
              <w:left w:w="150" w:type="dxa"/>
              <w:bottom w:w="100" w:type="dxa"/>
              <w:right w:w="150" w:type="dxa"/>
            </w:tcMar>
            <w:vAlign w:val="center"/>
          </w:tcPr>
          <w:p w14:paraId="04742944" w14:textId="77777777" w:rsidR="00677850" w:rsidRPr="009462CA" w:rsidRDefault="009C1DC2">
            <w:pPr>
              <w:rPr>
                <w:lang w:val="es-BO"/>
              </w:rPr>
            </w:pPr>
            <w:r w:rsidRPr="009462CA">
              <w:rPr>
                <w:color w:val="282828"/>
                <w:sz w:val="19"/>
                <w:lang w:val="es-BO"/>
              </w:rPr>
              <w:t>Dentro del formulario de propuesta económica aparecen dos rubros bajo la categoría Transporte: Transporte Misiones y Transporte/Local. Agradecemos aclarar la diferencia exacta entre ambos rubros, y qué tipo de desplazamientos debe imputarse a cada uno.</w:t>
            </w:r>
          </w:p>
        </w:tc>
        <w:tc>
          <w:tcPr>
            <w:tcW w:w="4091" w:type="dxa"/>
            <w:shd w:val="clear" w:color="auto" w:fill="FFFFFF" w:themeFill="background1"/>
            <w:tcMar>
              <w:top w:w="100" w:type="dxa"/>
              <w:left w:w="150" w:type="dxa"/>
              <w:bottom w:w="100" w:type="dxa"/>
              <w:right w:w="150" w:type="dxa"/>
            </w:tcMar>
            <w:vAlign w:val="center"/>
          </w:tcPr>
          <w:p w14:paraId="6BB4922D" w14:textId="4732B05C" w:rsidR="002B5A87" w:rsidRPr="002B5A87" w:rsidRDefault="002B5A87" w:rsidP="002B5A87">
            <w:pPr>
              <w:rPr>
                <w:lang w:val="es-BO"/>
              </w:rPr>
            </w:pPr>
            <w:r w:rsidRPr="002B5A87">
              <w:rPr>
                <w:lang w:val="es-BO"/>
              </w:rPr>
              <w:t>El rubro “Transporte Misiones” corresponde a los desplazamientos necesarios durante las misiones previstas, como los traslados desde y hacia el aeropuerto, entre el alojamiento y los lugares de reuniones o talleres, y otros recorridos locales vinculados con la ejecución de las actividades.</w:t>
            </w:r>
          </w:p>
          <w:p w14:paraId="775FBB64" w14:textId="0958B7FF" w:rsidR="00677850" w:rsidRPr="009462CA" w:rsidRDefault="002B5A87" w:rsidP="002B5A87">
            <w:pPr>
              <w:rPr>
                <w:lang w:val="es-BO"/>
              </w:rPr>
            </w:pPr>
            <w:r w:rsidRPr="002B5A87">
              <w:rPr>
                <w:lang w:val="es-BO"/>
              </w:rPr>
              <w:t>Por su parte, el rubro “Transporte/Local” comprende los desplazamientos terrestres dentro del país que deba realizar el experto o la experta local fuera de su área metropolitana para participar en talleres, reuniones u otras actividades relevantes para la consultoría.</w:t>
            </w:r>
          </w:p>
        </w:tc>
      </w:tr>
      <w:tr w:rsidR="00677850" w:rsidRPr="003047F2" w14:paraId="46691C24" w14:textId="77777777" w:rsidTr="588E4E83">
        <w:tc>
          <w:tcPr>
            <w:tcW w:w="720" w:type="dxa"/>
            <w:shd w:val="clear" w:color="auto" w:fill="F2F5F8"/>
            <w:tcMar>
              <w:top w:w="100" w:type="dxa"/>
              <w:left w:w="150" w:type="dxa"/>
              <w:bottom w:w="100" w:type="dxa"/>
              <w:right w:w="150" w:type="dxa"/>
            </w:tcMar>
            <w:vAlign w:val="center"/>
          </w:tcPr>
          <w:p w14:paraId="04465C43" w14:textId="77777777" w:rsidR="00677850" w:rsidRDefault="009C1DC2">
            <w:pPr>
              <w:jc w:val="center"/>
            </w:pPr>
            <w:r>
              <w:rPr>
                <w:color w:val="282828"/>
                <w:sz w:val="19"/>
              </w:rPr>
              <w:t>12</w:t>
            </w:r>
          </w:p>
        </w:tc>
        <w:tc>
          <w:tcPr>
            <w:tcW w:w="1389" w:type="dxa"/>
            <w:shd w:val="clear" w:color="auto" w:fill="F2F5F8"/>
            <w:tcMar>
              <w:top w:w="100" w:type="dxa"/>
              <w:left w:w="150" w:type="dxa"/>
              <w:bottom w:w="100" w:type="dxa"/>
              <w:right w:w="150" w:type="dxa"/>
            </w:tcMar>
            <w:vAlign w:val="center"/>
          </w:tcPr>
          <w:p w14:paraId="1A4E33EF"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452B1723" w14:textId="0DA9F5DD" w:rsidR="00677850" w:rsidRPr="00C27D45" w:rsidRDefault="009462CA" w:rsidP="588E4E83">
            <w:pPr>
              <w:jc w:val="center"/>
            </w:pPr>
            <w:r>
              <w:t>Técnica</w:t>
            </w:r>
          </w:p>
        </w:tc>
        <w:tc>
          <w:tcPr>
            <w:tcW w:w="4608" w:type="dxa"/>
            <w:shd w:val="clear" w:color="auto" w:fill="F2F5F8"/>
            <w:tcMar>
              <w:top w:w="100" w:type="dxa"/>
              <w:left w:w="150" w:type="dxa"/>
              <w:bottom w:w="100" w:type="dxa"/>
              <w:right w:w="150" w:type="dxa"/>
            </w:tcMar>
            <w:vAlign w:val="center"/>
          </w:tcPr>
          <w:p w14:paraId="21238637" w14:textId="77777777" w:rsidR="00677850" w:rsidRPr="009462CA" w:rsidRDefault="009C1DC2">
            <w:pPr>
              <w:rPr>
                <w:lang w:val="es-BO"/>
              </w:rPr>
            </w:pPr>
            <w:r w:rsidRPr="009462CA">
              <w:rPr>
                <w:color w:val="282828"/>
                <w:sz w:val="19"/>
                <w:lang w:val="es-BO"/>
              </w:rPr>
              <w:t xml:space="preserve">El </w:t>
            </w:r>
            <w:proofErr w:type="spellStart"/>
            <w:r w:rsidRPr="009462CA">
              <w:rPr>
                <w:color w:val="282828"/>
                <w:sz w:val="19"/>
                <w:lang w:val="es-BO"/>
              </w:rPr>
              <w:t>TdR</w:t>
            </w:r>
            <w:proofErr w:type="spellEnd"/>
            <w:r w:rsidRPr="009462CA">
              <w:rPr>
                <w:color w:val="282828"/>
                <w:sz w:val="19"/>
                <w:lang w:val="es-BO"/>
              </w:rPr>
              <w:t xml:space="preserve"> establece un monto fijo de referencia de 1.000 EUR por taller (6 talleres, 2 por país), incluyendo </w:t>
            </w:r>
            <w:proofErr w:type="spellStart"/>
            <w:r w:rsidRPr="009462CA">
              <w:rPr>
                <w:color w:val="282828"/>
                <w:sz w:val="19"/>
                <w:lang w:val="es-BO"/>
              </w:rPr>
              <w:t>coffee</w:t>
            </w:r>
            <w:proofErr w:type="spellEnd"/>
            <w:r w:rsidRPr="009462CA">
              <w:rPr>
                <w:color w:val="282828"/>
                <w:sz w:val="19"/>
                <w:lang w:val="es-BO"/>
              </w:rPr>
              <w:t xml:space="preserve"> break y almuerzo para hasta 30 personas. Agradecemos aclarar cómo deben reportarse estos costos dentro del formulario de </w:t>
            </w:r>
            <w:r w:rsidRPr="009462CA">
              <w:rPr>
                <w:color w:val="282828"/>
                <w:sz w:val="19"/>
                <w:lang w:val="es-BO"/>
              </w:rPr>
              <w:lastRenderedPageBreak/>
              <w:t>propuesta económica: como una línea única de talleres al valor de referencia indicado, como un desglose detallado por concepto (catering, logística, alquiler de sala, materiales, etc.), o conforme a un formato específico que GIZ pueda proporcionar.</w:t>
            </w:r>
          </w:p>
        </w:tc>
        <w:tc>
          <w:tcPr>
            <w:tcW w:w="4091" w:type="dxa"/>
            <w:shd w:val="clear" w:color="auto" w:fill="F2F5F8"/>
            <w:tcMar>
              <w:top w:w="100" w:type="dxa"/>
              <w:left w:w="150" w:type="dxa"/>
              <w:bottom w:w="100" w:type="dxa"/>
              <w:right w:w="150" w:type="dxa"/>
            </w:tcMar>
            <w:vAlign w:val="center"/>
          </w:tcPr>
          <w:p w14:paraId="6AE0A00E" w14:textId="35210049" w:rsidR="00677850" w:rsidRPr="003047F2" w:rsidRDefault="10F4F42A" w:rsidP="588E4E83">
            <w:pPr>
              <w:rPr>
                <w:lang w:val="es-BO"/>
              </w:rPr>
            </w:pPr>
            <w:r w:rsidRPr="588E4E83">
              <w:rPr>
                <w:rFonts w:eastAsia="Arial" w:cs="Arial"/>
                <w:lang w:val="es-BO"/>
              </w:rPr>
              <w:lastRenderedPageBreak/>
              <w:t xml:space="preserve">Los costos deberán presentarse de forma consolidada en una única línea denominada “Talleres”, considerando el monto de referencia establecido de </w:t>
            </w:r>
            <w:r w:rsidRPr="588E4E83">
              <w:rPr>
                <w:rFonts w:eastAsia="Arial" w:cs="Arial"/>
                <w:lang w:val="es-BO"/>
              </w:rPr>
              <w:lastRenderedPageBreak/>
              <w:t>1.000 EUR por taller. No se requiere un desglose por concepto, conforme a lo indicado en el apartado de pautas para el cálculo de los Términos de Referencia.</w:t>
            </w:r>
          </w:p>
        </w:tc>
      </w:tr>
      <w:tr w:rsidR="00677850" w:rsidRPr="003047F2" w14:paraId="3EA593F7" w14:textId="77777777" w:rsidTr="588E4E83">
        <w:tc>
          <w:tcPr>
            <w:tcW w:w="720" w:type="dxa"/>
            <w:shd w:val="clear" w:color="auto" w:fill="FFFFFF" w:themeFill="background1"/>
            <w:tcMar>
              <w:top w:w="100" w:type="dxa"/>
              <w:left w:w="150" w:type="dxa"/>
              <w:bottom w:w="100" w:type="dxa"/>
              <w:right w:w="150" w:type="dxa"/>
            </w:tcMar>
            <w:vAlign w:val="center"/>
          </w:tcPr>
          <w:p w14:paraId="49697003" w14:textId="77777777" w:rsidR="00677850" w:rsidRDefault="009C1DC2">
            <w:pPr>
              <w:jc w:val="center"/>
            </w:pPr>
            <w:r>
              <w:rPr>
                <w:color w:val="282828"/>
                <w:sz w:val="19"/>
              </w:rPr>
              <w:lastRenderedPageBreak/>
              <w:t>13</w:t>
            </w:r>
          </w:p>
        </w:tc>
        <w:tc>
          <w:tcPr>
            <w:tcW w:w="1389" w:type="dxa"/>
            <w:shd w:val="clear" w:color="auto" w:fill="FFFFFF" w:themeFill="background1"/>
            <w:tcMar>
              <w:top w:w="100" w:type="dxa"/>
              <w:left w:w="150" w:type="dxa"/>
              <w:bottom w:w="100" w:type="dxa"/>
              <w:right w:w="150" w:type="dxa"/>
            </w:tcMar>
            <w:vAlign w:val="center"/>
          </w:tcPr>
          <w:p w14:paraId="6CFB023F"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74921EF3" w14:textId="77777777" w:rsidR="00677850" w:rsidRDefault="009C1DC2">
            <w:pPr>
              <w:jc w:val="center"/>
            </w:pPr>
            <w:proofErr w:type="spellStart"/>
            <w:r>
              <w:rPr>
                <w:color w:val="282828"/>
                <w:sz w:val="19"/>
              </w:rPr>
              <w:t>Administrativa</w:t>
            </w:r>
            <w:proofErr w:type="spellEnd"/>
          </w:p>
        </w:tc>
        <w:tc>
          <w:tcPr>
            <w:tcW w:w="4608" w:type="dxa"/>
            <w:shd w:val="clear" w:color="auto" w:fill="FFFFFF" w:themeFill="background1"/>
            <w:tcMar>
              <w:top w:w="100" w:type="dxa"/>
              <w:left w:w="150" w:type="dxa"/>
              <w:bottom w:w="100" w:type="dxa"/>
              <w:right w:w="150" w:type="dxa"/>
            </w:tcMar>
            <w:vAlign w:val="center"/>
          </w:tcPr>
          <w:p w14:paraId="24BA380E" w14:textId="77777777" w:rsidR="00677850" w:rsidRPr="009462CA" w:rsidRDefault="009C1DC2">
            <w:pPr>
              <w:rPr>
                <w:lang w:val="es-BO"/>
              </w:rPr>
            </w:pPr>
            <w:r w:rsidRPr="009462CA">
              <w:rPr>
                <w:color w:val="282828"/>
                <w:sz w:val="19"/>
                <w:lang w:val="es-BO"/>
              </w:rPr>
              <w:t>El cronograma de hitos indica que la reunión inicial se realizaría entre el 17 y el 21 de agosto de 2026. Agradecemos confirmar si estas fechas continúan vigentes a la fecha actual del proceso.</w:t>
            </w:r>
          </w:p>
        </w:tc>
        <w:tc>
          <w:tcPr>
            <w:tcW w:w="4091" w:type="dxa"/>
            <w:shd w:val="clear" w:color="auto" w:fill="FFFFFF" w:themeFill="background1"/>
            <w:tcMar>
              <w:top w:w="100" w:type="dxa"/>
              <w:left w:w="150" w:type="dxa"/>
              <w:bottom w:w="100" w:type="dxa"/>
              <w:right w:w="150" w:type="dxa"/>
            </w:tcMar>
            <w:vAlign w:val="center"/>
          </w:tcPr>
          <w:p w14:paraId="17053A98" w14:textId="5A94210B" w:rsidR="00677850" w:rsidRPr="009462CA" w:rsidRDefault="009462CA">
            <w:pPr>
              <w:rPr>
                <w:sz w:val="18"/>
                <w:szCs w:val="18"/>
                <w:lang w:val="es-BO"/>
              </w:rPr>
            </w:pPr>
            <w:r w:rsidRPr="009462CA">
              <w:rPr>
                <w:sz w:val="18"/>
                <w:szCs w:val="18"/>
                <w:lang w:val="es-BO"/>
              </w:rPr>
              <w:t xml:space="preserve">Las fechas se mantienen, </w:t>
            </w:r>
            <w:r w:rsidR="00472125" w:rsidRPr="009462CA">
              <w:rPr>
                <w:sz w:val="18"/>
                <w:szCs w:val="18"/>
                <w:lang w:val="es-BO"/>
              </w:rPr>
              <w:t>en caso de que</w:t>
            </w:r>
            <w:r w:rsidRPr="009462CA">
              <w:rPr>
                <w:sz w:val="18"/>
                <w:szCs w:val="18"/>
                <w:lang w:val="es-BO"/>
              </w:rPr>
              <w:t xml:space="preserve"> el proceso de contratación se extienda </w:t>
            </w:r>
            <w:proofErr w:type="spellStart"/>
            <w:r w:rsidRPr="009462CA">
              <w:rPr>
                <w:sz w:val="18"/>
                <w:szCs w:val="18"/>
                <w:lang w:val="es-BO"/>
              </w:rPr>
              <w:t>mas</w:t>
            </w:r>
            <w:proofErr w:type="spellEnd"/>
            <w:r w:rsidRPr="009462CA">
              <w:rPr>
                <w:sz w:val="18"/>
                <w:szCs w:val="18"/>
                <w:lang w:val="es-BO"/>
              </w:rPr>
              <w:t xml:space="preserve"> de lo previsto, estas fechas podrán ser modificadas</w:t>
            </w:r>
          </w:p>
        </w:tc>
      </w:tr>
      <w:tr w:rsidR="00677850" w:rsidRPr="003047F2" w14:paraId="54871EC7" w14:textId="77777777" w:rsidTr="588E4E83">
        <w:tc>
          <w:tcPr>
            <w:tcW w:w="720" w:type="dxa"/>
            <w:shd w:val="clear" w:color="auto" w:fill="F2F5F8"/>
            <w:tcMar>
              <w:top w:w="100" w:type="dxa"/>
              <w:left w:w="150" w:type="dxa"/>
              <w:bottom w:w="100" w:type="dxa"/>
              <w:right w:w="150" w:type="dxa"/>
            </w:tcMar>
            <w:vAlign w:val="center"/>
          </w:tcPr>
          <w:p w14:paraId="712A2DCA" w14:textId="77777777" w:rsidR="00677850" w:rsidRDefault="009C1DC2">
            <w:pPr>
              <w:jc w:val="center"/>
            </w:pPr>
            <w:r>
              <w:rPr>
                <w:color w:val="282828"/>
                <w:sz w:val="19"/>
              </w:rPr>
              <w:t>14</w:t>
            </w:r>
          </w:p>
        </w:tc>
        <w:tc>
          <w:tcPr>
            <w:tcW w:w="1389" w:type="dxa"/>
            <w:shd w:val="clear" w:color="auto" w:fill="F2F5F8"/>
            <w:tcMar>
              <w:top w:w="100" w:type="dxa"/>
              <w:left w:w="150" w:type="dxa"/>
              <w:bottom w:w="100" w:type="dxa"/>
              <w:right w:w="150" w:type="dxa"/>
            </w:tcMar>
            <w:vAlign w:val="center"/>
          </w:tcPr>
          <w:p w14:paraId="7A2B8E06"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73F46EE4" w14:textId="77777777" w:rsidR="00677850" w:rsidRDefault="009C1DC2">
            <w:pPr>
              <w:jc w:val="center"/>
            </w:pPr>
            <w:proofErr w:type="spellStart"/>
            <w:r>
              <w:rPr>
                <w:color w:val="282828"/>
                <w:sz w:val="19"/>
              </w:rPr>
              <w:t>Administrativa</w:t>
            </w:r>
            <w:proofErr w:type="spellEnd"/>
          </w:p>
        </w:tc>
        <w:tc>
          <w:tcPr>
            <w:tcW w:w="4608" w:type="dxa"/>
            <w:shd w:val="clear" w:color="auto" w:fill="F2F5F8"/>
            <w:tcMar>
              <w:top w:w="100" w:type="dxa"/>
              <w:left w:w="150" w:type="dxa"/>
              <w:bottom w:w="100" w:type="dxa"/>
              <w:right w:w="150" w:type="dxa"/>
            </w:tcMar>
            <w:vAlign w:val="center"/>
          </w:tcPr>
          <w:p w14:paraId="034F24A2" w14:textId="77777777" w:rsidR="00677850" w:rsidRPr="009462CA" w:rsidRDefault="009C1DC2">
            <w:pPr>
              <w:rPr>
                <w:lang w:val="es-BO"/>
              </w:rPr>
            </w:pPr>
            <w:r w:rsidRPr="588E4E83">
              <w:rPr>
                <w:color w:val="282828"/>
                <w:sz w:val="19"/>
                <w:szCs w:val="19"/>
                <w:lang w:val="es-BO"/>
              </w:rPr>
              <w:t>Solicitamos gentilmente una ampliación del plazo de entrega de la oferta, actualmente fijado para el 31.07.2026</w:t>
            </w:r>
          </w:p>
        </w:tc>
        <w:tc>
          <w:tcPr>
            <w:tcW w:w="4091" w:type="dxa"/>
            <w:shd w:val="clear" w:color="auto" w:fill="F2F5F8"/>
            <w:tcMar>
              <w:top w:w="100" w:type="dxa"/>
              <w:left w:w="150" w:type="dxa"/>
              <w:bottom w:w="100" w:type="dxa"/>
              <w:right w:w="150" w:type="dxa"/>
            </w:tcMar>
            <w:vAlign w:val="center"/>
          </w:tcPr>
          <w:p w14:paraId="0E3CFB73" w14:textId="4DB8FF83" w:rsidR="00677850" w:rsidRPr="003047F2" w:rsidRDefault="07B18B19" w:rsidP="588E4E83">
            <w:pPr>
              <w:rPr>
                <w:lang w:val="es-BO"/>
              </w:rPr>
            </w:pPr>
            <w:r w:rsidRPr="588E4E83">
              <w:rPr>
                <w:rFonts w:eastAsia="Arial" w:cs="Arial"/>
                <w:lang w:val="es-BO"/>
              </w:rPr>
              <w:t>Se informa que el plazo para la presentación de ofertas se amplía hasta el viernes 7 de agosto de 2026, a más tardar.</w:t>
            </w:r>
          </w:p>
        </w:tc>
      </w:tr>
      <w:tr w:rsidR="00677850" w:rsidRPr="009462CA" w14:paraId="699249F3" w14:textId="77777777" w:rsidTr="588E4E83">
        <w:tc>
          <w:tcPr>
            <w:tcW w:w="720" w:type="dxa"/>
            <w:shd w:val="clear" w:color="auto" w:fill="FFFFFF" w:themeFill="background1"/>
            <w:tcMar>
              <w:top w:w="100" w:type="dxa"/>
              <w:left w:w="150" w:type="dxa"/>
              <w:bottom w:w="100" w:type="dxa"/>
              <w:right w:w="150" w:type="dxa"/>
            </w:tcMar>
            <w:vAlign w:val="center"/>
          </w:tcPr>
          <w:p w14:paraId="5EB4AB62" w14:textId="77777777" w:rsidR="00677850" w:rsidRDefault="009C1DC2">
            <w:pPr>
              <w:jc w:val="center"/>
            </w:pPr>
            <w:r>
              <w:rPr>
                <w:color w:val="282828"/>
                <w:sz w:val="19"/>
              </w:rPr>
              <w:t>15</w:t>
            </w:r>
          </w:p>
        </w:tc>
        <w:tc>
          <w:tcPr>
            <w:tcW w:w="1389" w:type="dxa"/>
            <w:shd w:val="clear" w:color="auto" w:fill="FFFFFF" w:themeFill="background1"/>
            <w:tcMar>
              <w:top w:w="100" w:type="dxa"/>
              <w:left w:w="150" w:type="dxa"/>
              <w:bottom w:w="100" w:type="dxa"/>
              <w:right w:w="150" w:type="dxa"/>
            </w:tcMar>
            <w:vAlign w:val="center"/>
          </w:tcPr>
          <w:p w14:paraId="541FA871"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5D8DC8B9" w14:textId="77777777" w:rsidR="00677850" w:rsidRDefault="009C1DC2">
            <w:pPr>
              <w:jc w:val="center"/>
            </w:pPr>
            <w:proofErr w:type="spellStart"/>
            <w:r>
              <w:rPr>
                <w:color w:val="282828"/>
                <w:sz w:val="19"/>
              </w:rPr>
              <w:t>Administrativa</w:t>
            </w:r>
            <w:proofErr w:type="spellEnd"/>
          </w:p>
        </w:tc>
        <w:tc>
          <w:tcPr>
            <w:tcW w:w="4608" w:type="dxa"/>
            <w:shd w:val="clear" w:color="auto" w:fill="FFFFFF" w:themeFill="background1"/>
            <w:tcMar>
              <w:top w:w="100" w:type="dxa"/>
              <w:left w:w="150" w:type="dxa"/>
              <w:bottom w:w="100" w:type="dxa"/>
              <w:right w:w="150" w:type="dxa"/>
            </w:tcMar>
            <w:vAlign w:val="center"/>
          </w:tcPr>
          <w:p w14:paraId="235A3A99" w14:textId="77777777" w:rsidR="00677850" w:rsidRPr="009462CA" w:rsidRDefault="009C1DC2">
            <w:pPr>
              <w:rPr>
                <w:lang w:val="es-BO"/>
              </w:rPr>
            </w:pPr>
            <w:r w:rsidRPr="009462CA">
              <w:rPr>
                <w:color w:val="282828"/>
                <w:sz w:val="19"/>
                <w:lang w:val="es-BO"/>
              </w:rPr>
              <w:t>A lo largo del documento de Instrucciones se indica que la participación está abierta a personas jurídicas legalmente establecidas en Uruguay o la Región. Agradecemos confirmar si personas jurídicas establecidas en Colombia o en Chile pueden aplicar</w:t>
            </w:r>
          </w:p>
        </w:tc>
        <w:tc>
          <w:tcPr>
            <w:tcW w:w="4091" w:type="dxa"/>
            <w:shd w:val="clear" w:color="auto" w:fill="FFFFFF" w:themeFill="background1"/>
            <w:tcMar>
              <w:top w:w="100" w:type="dxa"/>
              <w:left w:w="150" w:type="dxa"/>
              <w:bottom w:w="100" w:type="dxa"/>
              <w:right w:w="150" w:type="dxa"/>
            </w:tcMar>
            <w:vAlign w:val="center"/>
          </w:tcPr>
          <w:p w14:paraId="5786CDCE" w14:textId="182C837C" w:rsidR="00677850" w:rsidRPr="00472125" w:rsidRDefault="00472125">
            <w:pPr>
              <w:rPr>
                <w:sz w:val="18"/>
                <w:szCs w:val="18"/>
                <w:lang w:val="es-BO"/>
              </w:rPr>
            </w:pPr>
            <w:r w:rsidRPr="00472125">
              <w:rPr>
                <w:sz w:val="18"/>
                <w:szCs w:val="18"/>
                <w:lang w:val="es-BO"/>
              </w:rPr>
              <w:t>SI es posible</w:t>
            </w:r>
          </w:p>
        </w:tc>
      </w:tr>
      <w:tr w:rsidR="00677850" w:rsidRPr="003047F2" w14:paraId="349AA42F" w14:textId="77777777" w:rsidTr="588E4E83">
        <w:tc>
          <w:tcPr>
            <w:tcW w:w="720" w:type="dxa"/>
            <w:shd w:val="clear" w:color="auto" w:fill="F2F5F8"/>
            <w:tcMar>
              <w:top w:w="100" w:type="dxa"/>
              <w:left w:w="150" w:type="dxa"/>
              <w:bottom w:w="100" w:type="dxa"/>
              <w:right w:w="150" w:type="dxa"/>
            </w:tcMar>
            <w:vAlign w:val="center"/>
          </w:tcPr>
          <w:p w14:paraId="2C2BE19F" w14:textId="77777777" w:rsidR="00677850" w:rsidRDefault="009C1DC2">
            <w:pPr>
              <w:jc w:val="center"/>
            </w:pPr>
            <w:r>
              <w:rPr>
                <w:color w:val="282828"/>
                <w:sz w:val="19"/>
              </w:rPr>
              <w:t>16</w:t>
            </w:r>
          </w:p>
        </w:tc>
        <w:tc>
          <w:tcPr>
            <w:tcW w:w="1389" w:type="dxa"/>
            <w:shd w:val="clear" w:color="auto" w:fill="F2F5F8"/>
            <w:tcMar>
              <w:top w:w="100" w:type="dxa"/>
              <w:left w:w="150" w:type="dxa"/>
              <w:bottom w:w="100" w:type="dxa"/>
              <w:right w:w="150" w:type="dxa"/>
            </w:tcMar>
            <w:vAlign w:val="center"/>
          </w:tcPr>
          <w:p w14:paraId="2A7B4B48"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5703DDAD" w14:textId="3E6C6508" w:rsidR="00677850" w:rsidRDefault="009C1DC2">
            <w:pPr>
              <w:jc w:val="center"/>
            </w:pPr>
            <w:r>
              <w:rPr>
                <w:color w:val="282828"/>
                <w:sz w:val="19"/>
              </w:rPr>
              <w:t xml:space="preserve">Técnica </w:t>
            </w:r>
          </w:p>
        </w:tc>
        <w:tc>
          <w:tcPr>
            <w:tcW w:w="4608" w:type="dxa"/>
            <w:shd w:val="clear" w:color="auto" w:fill="F2F5F8"/>
            <w:tcMar>
              <w:top w:w="100" w:type="dxa"/>
              <w:left w:w="150" w:type="dxa"/>
              <w:bottom w:w="100" w:type="dxa"/>
              <w:right w:w="150" w:type="dxa"/>
            </w:tcMar>
            <w:vAlign w:val="center"/>
          </w:tcPr>
          <w:p w14:paraId="4A5C0B7E" w14:textId="77777777" w:rsidR="00677850" w:rsidRPr="009462CA" w:rsidRDefault="009C1DC2">
            <w:pPr>
              <w:rPr>
                <w:lang w:val="es-BO"/>
              </w:rPr>
            </w:pPr>
            <w:r w:rsidRPr="009462CA">
              <w:rPr>
                <w:color w:val="282828"/>
                <w:sz w:val="19"/>
                <w:lang w:val="es-BO"/>
              </w:rPr>
              <w:t>Para los asistentes júnior, ¿podrían explicitar qué se considera "campo relacionado" para efectos de formación académica? ¿Un perfil de ingeniería o ciencias calificaría dentro de este criterio?</w:t>
            </w:r>
          </w:p>
        </w:tc>
        <w:tc>
          <w:tcPr>
            <w:tcW w:w="4091" w:type="dxa"/>
            <w:shd w:val="clear" w:color="auto" w:fill="F2F5F8"/>
            <w:tcMar>
              <w:top w:w="100" w:type="dxa"/>
              <w:left w:w="150" w:type="dxa"/>
              <w:bottom w:w="100" w:type="dxa"/>
              <w:right w:w="150" w:type="dxa"/>
            </w:tcMar>
            <w:vAlign w:val="center"/>
          </w:tcPr>
          <w:p w14:paraId="4831ABDA" w14:textId="2D2C7FD9" w:rsidR="00677850" w:rsidRPr="009462CA" w:rsidRDefault="00C27D45">
            <w:pPr>
              <w:rPr>
                <w:lang w:val="es-BO"/>
              </w:rPr>
            </w:pPr>
            <w:r>
              <w:rPr>
                <w:lang w:val="es-BO"/>
              </w:rPr>
              <w:t>Un</w:t>
            </w:r>
            <w:r w:rsidRPr="00C27D45">
              <w:rPr>
                <w:lang w:val="es-BO"/>
              </w:rPr>
              <w:t xml:space="preserve"> perfil de ingeniería o ciencias podrá calificar, siempre que su especialidad y trayectoria sean pertinentes para el estudio y que cumpla con la experiencia requerida en investigación, apoyo a políticas o comunicación técnica.</w:t>
            </w:r>
          </w:p>
        </w:tc>
      </w:tr>
      <w:tr w:rsidR="00677850" w:rsidRPr="003047F2" w14:paraId="4F0ADD6F" w14:textId="77777777" w:rsidTr="588E4E83">
        <w:tc>
          <w:tcPr>
            <w:tcW w:w="720" w:type="dxa"/>
            <w:shd w:val="clear" w:color="auto" w:fill="FFFFFF" w:themeFill="background1"/>
            <w:tcMar>
              <w:top w:w="100" w:type="dxa"/>
              <w:left w:w="150" w:type="dxa"/>
              <w:bottom w:w="100" w:type="dxa"/>
              <w:right w:w="150" w:type="dxa"/>
            </w:tcMar>
            <w:vAlign w:val="center"/>
          </w:tcPr>
          <w:p w14:paraId="2B997EAF" w14:textId="77777777" w:rsidR="00677850" w:rsidRDefault="009C1DC2">
            <w:pPr>
              <w:jc w:val="center"/>
            </w:pPr>
            <w:r>
              <w:rPr>
                <w:color w:val="282828"/>
                <w:sz w:val="19"/>
              </w:rPr>
              <w:t>17</w:t>
            </w:r>
          </w:p>
        </w:tc>
        <w:tc>
          <w:tcPr>
            <w:tcW w:w="1389" w:type="dxa"/>
            <w:shd w:val="clear" w:color="auto" w:fill="FFFFFF" w:themeFill="background1"/>
            <w:tcMar>
              <w:top w:w="100" w:type="dxa"/>
              <w:left w:w="150" w:type="dxa"/>
              <w:bottom w:w="100" w:type="dxa"/>
              <w:right w:w="150" w:type="dxa"/>
            </w:tcMar>
            <w:vAlign w:val="center"/>
          </w:tcPr>
          <w:p w14:paraId="3A9DD0B9"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535D182E" w14:textId="1E9A7F11" w:rsidR="00677850" w:rsidRDefault="009C1DC2">
            <w:pPr>
              <w:jc w:val="center"/>
            </w:pPr>
            <w:r>
              <w:rPr>
                <w:color w:val="282828"/>
                <w:sz w:val="19"/>
              </w:rPr>
              <w:t xml:space="preserve">Técnica </w:t>
            </w:r>
          </w:p>
        </w:tc>
        <w:tc>
          <w:tcPr>
            <w:tcW w:w="4608" w:type="dxa"/>
            <w:shd w:val="clear" w:color="auto" w:fill="FFFFFF" w:themeFill="background1"/>
            <w:tcMar>
              <w:top w:w="100" w:type="dxa"/>
              <w:left w:w="150" w:type="dxa"/>
              <w:bottom w:w="100" w:type="dxa"/>
              <w:right w:w="150" w:type="dxa"/>
            </w:tcMar>
            <w:vAlign w:val="center"/>
          </w:tcPr>
          <w:p w14:paraId="357587C9" w14:textId="77777777" w:rsidR="00677850" w:rsidRPr="009462CA" w:rsidRDefault="009C1DC2">
            <w:pPr>
              <w:rPr>
                <w:lang w:val="es-BO"/>
              </w:rPr>
            </w:pPr>
            <w:r w:rsidRPr="588E4E83">
              <w:rPr>
                <w:color w:val="282828"/>
                <w:sz w:val="19"/>
                <w:szCs w:val="19"/>
                <w:lang w:val="es-BO"/>
              </w:rPr>
              <w:t>¿Puede un mismo profesional abarcar dos posiciones diferentes? Por ejemplo, ¿puede ser el experto en incentivos el mismo experto local en uno de los países?</w:t>
            </w:r>
          </w:p>
        </w:tc>
        <w:tc>
          <w:tcPr>
            <w:tcW w:w="4091" w:type="dxa"/>
            <w:shd w:val="clear" w:color="auto" w:fill="FFFFFF" w:themeFill="background1"/>
            <w:tcMar>
              <w:top w:w="100" w:type="dxa"/>
              <w:left w:w="150" w:type="dxa"/>
              <w:bottom w:w="100" w:type="dxa"/>
              <w:right w:w="150" w:type="dxa"/>
            </w:tcMar>
            <w:vAlign w:val="center"/>
          </w:tcPr>
          <w:p w14:paraId="098B4ED3" w14:textId="439B6FB8" w:rsidR="00677850" w:rsidRPr="003047F2" w:rsidRDefault="2BE260B4" w:rsidP="588E4E83">
            <w:pPr>
              <w:spacing w:before="240" w:after="240"/>
              <w:rPr>
                <w:lang w:val="es-BO"/>
              </w:rPr>
            </w:pPr>
            <w:r w:rsidRPr="588E4E83">
              <w:rPr>
                <w:rFonts w:eastAsia="Arial" w:cs="Arial"/>
                <w:lang w:val="es-BO"/>
              </w:rPr>
              <w:t xml:space="preserve">No sería factible que un mismo profesional ocupe dos posiciones diferentes, considerando que cada perfil cuenta con una cantidad específica de días asignados y una estimación de costos asociada dentro </w:t>
            </w:r>
            <w:r w:rsidRPr="588E4E83">
              <w:rPr>
                <w:rFonts w:eastAsia="Arial" w:cs="Arial"/>
                <w:lang w:val="es-BO"/>
              </w:rPr>
              <w:lastRenderedPageBreak/>
              <w:t>de la propuesta económica. Por tanto, se espera que cada posición sea cubierta por un profesional diferente.</w:t>
            </w:r>
          </w:p>
          <w:p w14:paraId="78E6F325" w14:textId="6D8733A2" w:rsidR="00677850" w:rsidRPr="009462CA" w:rsidRDefault="00677850">
            <w:pPr>
              <w:rPr>
                <w:lang w:val="es-BO"/>
              </w:rPr>
            </w:pPr>
          </w:p>
        </w:tc>
      </w:tr>
      <w:tr w:rsidR="00677850" w:rsidRPr="003047F2" w14:paraId="257163A8" w14:textId="77777777" w:rsidTr="588E4E83">
        <w:tc>
          <w:tcPr>
            <w:tcW w:w="720" w:type="dxa"/>
            <w:shd w:val="clear" w:color="auto" w:fill="F2F5F8"/>
            <w:tcMar>
              <w:top w:w="100" w:type="dxa"/>
              <w:left w:w="150" w:type="dxa"/>
              <w:bottom w:w="100" w:type="dxa"/>
              <w:right w:w="150" w:type="dxa"/>
            </w:tcMar>
            <w:vAlign w:val="center"/>
          </w:tcPr>
          <w:p w14:paraId="6EDDC310" w14:textId="77777777" w:rsidR="00677850" w:rsidRDefault="009C1DC2">
            <w:pPr>
              <w:jc w:val="center"/>
            </w:pPr>
            <w:r>
              <w:rPr>
                <w:color w:val="282828"/>
                <w:sz w:val="19"/>
              </w:rPr>
              <w:lastRenderedPageBreak/>
              <w:t>18</w:t>
            </w:r>
          </w:p>
        </w:tc>
        <w:tc>
          <w:tcPr>
            <w:tcW w:w="1389" w:type="dxa"/>
            <w:shd w:val="clear" w:color="auto" w:fill="F2F5F8"/>
            <w:tcMar>
              <w:top w:w="100" w:type="dxa"/>
              <w:left w:w="150" w:type="dxa"/>
              <w:bottom w:w="100" w:type="dxa"/>
              <w:right w:w="150" w:type="dxa"/>
            </w:tcMar>
            <w:vAlign w:val="center"/>
          </w:tcPr>
          <w:p w14:paraId="4C91318D"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7926C80F" w14:textId="4A2E7ED6" w:rsidR="00677850" w:rsidRDefault="009C1DC2">
            <w:pPr>
              <w:jc w:val="center"/>
            </w:pPr>
            <w:r>
              <w:rPr>
                <w:color w:val="282828"/>
                <w:sz w:val="19"/>
              </w:rPr>
              <w:t xml:space="preserve">Técnica </w:t>
            </w:r>
          </w:p>
        </w:tc>
        <w:tc>
          <w:tcPr>
            <w:tcW w:w="4608" w:type="dxa"/>
            <w:shd w:val="clear" w:color="auto" w:fill="F2F5F8"/>
            <w:tcMar>
              <w:top w:w="100" w:type="dxa"/>
              <w:left w:w="150" w:type="dxa"/>
              <w:bottom w:w="100" w:type="dxa"/>
              <w:right w:w="150" w:type="dxa"/>
            </w:tcMar>
            <w:vAlign w:val="center"/>
          </w:tcPr>
          <w:p w14:paraId="5FD5DF7C" w14:textId="77777777" w:rsidR="00677850" w:rsidRPr="009462CA" w:rsidRDefault="009C1DC2">
            <w:pPr>
              <w:rPr>
                <w:lang w:val="es-BO"/>
              </w:rPr>
            </w:pPr>
            <w:r w:rsidRPr="009462CA">
              <w:rPr>
                <w:color w:val="282828"/>
                <w:sz w:val="19"/>
                <w:lang w:val="es-BO"/>
              </w:rPr>
              <w:t>El número de días por experto/</w:t>
            </w:r>
            <w:proofErr w:type="spellStart"/>
            <w:r w:rsidRPr="009462CA">
              <w:rPr>
                <w:color w:val="282828"/>
                <w:sz w:val="19"/>
                <w:lang w:val="es-BO"/>
              </w:rPr>
              <w:t>a</w:t>
            </w:r>
            <w:proofErr w:type="spellEnd"/>
            <w:r w:rsidRPr="009462CA">
              <w:rPr>
                <w:color w:val="282828"/>
                <w:sz w:val="19"/>
                <w:lang w:val="es-BO"/>
              </w:rPr>
              <w:t xml:space="preserve"> presentado a lo largo de los Términos de Referencia, ¿incluye los días necesarios para los viajes/talleres, o esos días son adicionales? En caso de ser adicionales, ¿deben adicionarse a los que vienen </w:t>
            </w:r>
            <w:proofErr w:type="spellStart"/>
            <w:r w:rsidRPr="009462CA">
              <w:rPr>
                <w:color w:val="282828"/>
                <w:sz w:val="19"/>
                <w:lang w:val="es-BO"/>
              </w:rPr>
              <w:t>prediligenciados</w:t>
            </w:r>
            <w:proofErr w:type="spellEnd"/>
            <w:r w:rsidRPr="009462CA">
              <w:rPr>
                <w:color w:val="282828"/>
                <w:sz w:val="19"/>
                <w:lang w:val="es-BO"/>
              </w:rPr>
              <w:t xml:space="preserve"> en el documento de propuesta económica?</w:t>
            </w:r>
          </w:p>
        </w:tc>
        <w:tc>
          <w:tcPr>
            <w:tcW w:w="4091" w:type="dxa"/>
            <w:shd w:val="clear" w:color="auto" w:fill="F2F5F8"/>
            <w:tcMar>
              <w:top w:w="100" w:type="dxa"/>
              <w:left w:w="150" w:type="dxa"/>
              <w:bottom w:w="100" w:type="dxa"/>
              <w:right w:w="150" w:type="dxa"/>
            </w:tcMar>
            <w:vAlign w:val="center"/>
          </w:tcPr>
          <w:p w14:paraId="2AEB7196" w14:textId="438366C8" w:rsidR="00677850" w:rsidRPr="009462CA" w:rsidRDefault="006F766B">
            <w:pPr>
              <w:rPr>
                <w:lang w:val="es-BO"/>
              </w:rPr>
            </w:pPr>
            <w:r w:rsidRPr="006F766B">
              <w:rPr>
                <w:lang w:val="es-BO"/>
              </w:rPr>
              <w:t>Los días necesarios para la participación en viajes, talleres y demás actividades presenciales ya se encuentran incluidos en el número total de días asignados a cada experto/a en los Términos de Referencia. Por tanto, no deben adicionarse días a los valores ya establecidos en el documento de propuesta económica.</w:t>
            </w:r>
          </w:p>
        </w:tc>
      </w:tr>
      <w:tr w:rsidR="00677850" w:rsidRPr="003047F2" w14:paraId="27A6DE56" w14:textId="77777777" w:rsidTr="588E4E83">
        <w:tc>
          <w:tcPr>
            <w:tcW w:w="720" w:type="dxa"/>
            <w:shd w:val="clear" w:color="auto" w:fill="FFFFFF" w:themeFill="background1"/>
            <w:tcMar>
              <w:top w:w="100" w:type="dxa"/>
              <w:left w:w="150" w:type="dxa"/>
              <w:bottom w:w="100" w:type="dxa"/>
              <w:right w:w="150" w:type="dxa"/>
            </w:tcMar>
            <w:vAlign w:val="center"/>
          </w:tcPr>
          <w:p w14:paraId="0A08E78C" w14:textId="77777777" w:rsidR="00677850" w:rsidRDefault="009C1DC2">
            <w:pPr>
              <w:jc w:val="center"/>
            </w:pPr>
            <w:r>
              <w:rPr>
                <w:color w:val="282828"/>
                <w:sz w:val="19"/>
              </w:rPr>
              <w:t>19</w:t>
            </w:r>
          </w:p>
        </w:tc>
        <w:tc>
          <w:tcPr>
            <w:tcW w:w="1389" w:type="dxa"/>
            <w:shd w:val="clear" w:color="auto" w:fill="FFFFFF" w:themeFill="background1"/>
            <w:tcMar>
              <w:top w:w="100" w:type="dxa"/>
              <w:left w:w="150" w:type="dxa"/>
              <w:bottom w:w="100" w:type="dxa"/>
              <w:right w:w="150" w:type="dxa"/>
            </w:tcMar>
            <w:vAlign w:val="center"/>
          </w:tcPr>
          <w:p w14:paraId="12A78C3A"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40BB408C" w14:textId="77777777" w:rsidR="00677850" w:rsidRDefault="009C1DC2">
            <w:pPr>
              <w:jc w:val="center"/>
            </w:pPr>
            <w:proofErr w:type="spellStart"/>
            <w:r>
              <w:rPr>
                <w:color w:val="282828"/>
                <w:sz w:val="19"/>
              </w:rPr>
              <w:t>Administrativa</w:t>
            </w:r>
            <w:proofErr w:type="spellEnd"/>
          </w:p>
        </w:tc>
        <w:tc>
          <w:tcPr>
            <w:tcW w:w="4608" w:type="dxa"/>
            <w:shd w:val="clear" w:color="auto" w:fill="FFFFFF" w:themeFill="background1"/>
            <w:tcMar>
              <w:top w:w="100" w:type="dxa"/>
              <w:left w:w="150" w:type="dxa"/>
              <w:bottom w:w="100" w:type="dxa"/>
              <w:right w:w="150" w:type="dxa"/>
            </w:tcMar>
            <w:vAlign w:val="center"/>
          </w:tcPr>
          <w:p w14:paraId="6AA80C87" w14:textId="77777777" w:rsidR="00677850" w:rsidRPr="009462CA" w:rsidRDefault="009C1DC2">
            <w:pPr>
              <w:rPr>
                <w:lang w:val="es-BO"/>
              </w:rPr>
            </w:pPr>
            <w:r w:rsidRPr="009462CA">
              <w:rPr>
                <w:color w:val="282828"/>
                <w:sz w:val="19"/>
                <w:lang w:val="es-BO"/>
              </w:rPr>
              <w:t>La hoja de vida institucional solicitada en las Instrucciones, ¿se incluye dentro del límite de 20 páginas de la propuesta técnica, o se presenta como documento adicional sin contar en dicho límite?</w:t>
            </w:r>
          </w:p>
        </w:tc>
        <w:tc>
          <w:tcPr>
            <w:tcW w:w="4091" w:type="dxa"/>
            <w:shd w:val="clear" w:color="auto" w:fill="FFFFFF" w:themeFill="background1"/>
            <w:tcMar>
              <w:top w:w="100" w:type="dxa"/>
              <w:left w:w="150" w:type="dxa"/>
              <w:bottom w:w="100" w:type="dxa"/>
              <w:right w:w="150" w:type="dxa"/>
            </w:tcMar>
            <w:vAlign w:val="center"/>
          </w:tcPr>
          <w:p w14:paraId="4BF596CC" w14:textId="46D1C720" w:rsidR="00677850" w:rsidRPr="00472125" w:rsidRDefault="00472125">
            <w:pPr>
              <w:rPr>
                <w:sz w:val="18"/>
                <w:szCs w:val="18"/>
                <w:lang w:val="es-BO"/>
              </w:rPr>
            </w:pPr>
            <w:r w:rsidRPr="00472125">
              <w:rPr>
                <w:sz w:val="18"/>
                <w:szCs w:val="18"/>
                <w:lang w:val="es-BO"/>
              </w:rPr>
              <w:t>Se presenta como un documento adicional</w:t>
            </w:r>
            <w:r>
              <w:rPr>
                <w:sz w:val="18"/>
                <w:szCs w:val="18"/>
                <w:lang w:val="es-BO"/>
              </w:rPr>
              <w:t xml:space="preserve">, no cuenta en el </w:t>
            </w:r>
            <w:proofErr w:type="spellStart"/>
            <w:r>
              <w:rPr>
                <w:sz w:val="18"/>
                <w:szCs w:val="18"/>
                <w:lang w:val="es-BO"/>
              </w:rPr>
              <w:t>limite</w:t>
            </w:r>
            <w:proofErr w:type="spellEnd"/>
            <w:r>
              <w:rPr>
                <w:sz w:val="18"/>
                <w:szCs w:val="18"/>
                <w:lang w:val="es-BO"/>
              </w:rPr>
              <w:t xml:space="preserve"> de la propuesta técnica</w:t>
            </w:r>
          </w:p>
        </w:tc>
      </w:tr>
      <w:tr w:rsidR="00677850" w:rsidRPr="003047F2" w14:paraId="52E3F909" w14:textId="77777777" w:rsidTr="588E4E83">
        <w:tc>
          <w:tcPr>
            <w:tcW w:w="720" w:type="dxa"/>
            <w:shd w:val="clear" w:color="auto" w:fill="F2F5F8"/>
            <w:tcMar>
              <w:top w:w="100" w:type="dxa"/>
              <w:left w:w="150" w:type="dxa"/>
              <w:bottom w:w="100" w:type="dxa"/>
              <w:right w:w="150" w:type="dxa"/>
            </w:tcMar>
            <w:vAlign w:val="center"/>
          </w:tcPr>
          <w:p w14:paraId="47AC54FF" w14:textId="77777777" w:rsidR="00677850" w:rsidRDefault="009C1DC2">
            <w:pPr>
              <w:jc w:val="center"/>
            </w:pPr>
            <w:r>
              <w:rPr>
                <w:color w:val="282828"/>
                <w:sz w:val="19"/>
              </w:rPr>
              <w:t>20</w:t>
            </w:r>
          </w:p>
        </w:tc>
        <w:tc>
          <w:tcPr>
            <w:tcW w:w="1389" w:type="dxa"/>
            <w:shd w:val="clear" w:color="auto" w:fill="F2F5F8"/>
            <w:tcMar>
              <w:top w:w="100" w:type="dxa"/>
              <w:left w:w="150" w:type="dxa"/>
              <w:bottom w:w="100" w:type="dxa"/>
              <w:right w:w="150" w:type="dxa"/>
            </w:tcMar>
            <w:vAlign w:val="center"/>
          </w:tcPr>
          <w:p w14:paraId="3945869D"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3B4A15EB" w14:textId="78D10345" w:rsidR="00677850" w:rsidRDefault="009C1DC2">
            <w:pPr>
              <w:jc w:val="center"/>
            </w:pPr>
            <w:r>
              <w:rPr>
                <w:color w:val="282828"/>
                <w:sz w:val="19"/>
              </w:rPr>
              <w:t xml:space="preserve">Técnica </w:t>
            </w:r>
          </w:p>
        </w:tc>
        <w:tc>
          <w:tcPr>
            <w:tcW w:w="4608" w:type="dxa"/>
            <w:shd w:val="clear" w:color="auto" w:fill="F2F5F8"/>
            <w:tcMar>
              <w:top w:w="100" w:type="dxa"/>
              <w:left w:w="150" w:type="dxa"/>
              <w:bottom w:w="100" w:type="dxa"/>
              <w:right w:w="150" w:type="dxa"/>
            </w:tcMar>
            <w:vAlign w:val="center"/>
          </w:tcPr>
          <w:p w14:paraId="2437ACE4" w14:textId="77777777" w:rsidR="00677850" w:rsidRPr="009462CA" w:rsidRDefault="009C1DC2">
            <w:pPr>
              <w:rPr>
                <w:lang w:val="es-BO"/>
              </w:rPr>
            </w:pPr>
            <w:r w:rsidRPr="009462CA">
              <w:rPr>
                <w:color w:val="282828"/>
                <w:sz w:val="19"/>
                <w:lang w:val="es-BO"/>
              </w:rPr>
              <w:t>Las distintas instancias de validación y socialización con instituciones locales, ¿serán gestionadas y activadas por GIZ, o constituyen una tarea 100% a cargo del equipo consultor seleccionado?</w:t>
            </w:r>
          </w:p>
        </w:tc>
        <w:tc>
          <w:tcPr>
            <w:tcW w:w="4091" w:type="dxa"/>
            <w:shd w:val="clear" w:color="auto" w:fill="F2F5F8"/>
            <w:tcMar>
              <w:top w:w="100" w:type="dxa"/>
              <w:left w:w="150" w:type="dxa"/>
              <w:bottom w:w="100" w:type="dxa"/>
              <w:right w:w="150" w:type="dxa"/>
            </w:tcMar>
            <w:vAlign w:val="center"/>
          </w:tcPr>
          <w:p w14:paraId="06F07C7A" w14:textId="6543497A" w:rsidR="00677850" w:rsidRPr="009462CA" w:rsidRDefault="00C27D45">
            <w:pPr>
              <w:rPr>
                <w:lang w:val="es-BO"/>
              </w:rPr>
            </w:pPr>
            <w:r w:rsidRPr="00C27D45">
              <w:rPr>
                <w:lang w:val="es-BO"/>
              </w:rPr>
              <w:t>Las instancias de validación y socialización serán gestionadas de manera conjunta entre GIZ y el equipo consultor. GIZ apoyará la identificación y el contacto con las instituciones y actores nacionales pertinentes, mientras que el equipo consultor será responsable de planificar, preparar y conducir las actividades, así como de sistematizar y documentar sus resultados.</w:t>
            </w:r>
          </w:p>
        </w:tc>
      </w:tr>
      <w:tr w:rsidR="00677850" w:rsidRPr="003047F2" w14:paraId="7071ACD0" w14:textId="77777777" w:rsidTr="588E4E83">
        <w:tc>
          <w:tcPr>
            <w:tcW w:w="720" w:type="dxa"/>
            <w:shd w:val="clear" w:color="auto" w:fill="FFFFFF" w:themeFill="background1"/>
            <w:tcMar>
              <w:top w:w="100" w:type="dxa"/>
              <w:left w:w="150" w:type="dxa"/>
              <w:bottom w:w="100" w:type="dxa"/>
              <w:right w:w="150" w:type="dxa"/>
            </w:tcMar>
            <w:vAlign w:val="center"/>
          </w:tcPr>
          <w:p w14:paraId="0ED5A843" w14:textId="77777777" w:rsidR="00677850" w:rsidRDefault="009C1DC2">
            <w:pPr>
              <w:jc w:val="center"/>
            </w:pPr>
            <w:r>
              <w:rPr>
                <w:color w:val="282828"/>
                <w:sz w:val="19"/>
              </w:rPr>
              <w:t>21</w:t>
            </w:r>
          </w:p>
        </w:tc>
        <w:tc>
          <w:tcPr>
            <w:tcW w:w="1389" w:type="dxa"/>
            <w:shd w:val="clear" w:color="auto" w:fill="FFFFFF" w:themeFill="background1"/>
            <w:tcMar>
              <w:top w:w="100" w:type="dxa"/>
              <w:left w:w="150" w:type="dxa"/>
              <w:bottom w:w="100" w:type="dxa"/>
              <w:right w:w="150" w:type="dxa"/>
            </w:tcMar>
            <w:vAlign w:val="center"/>
          </w:tcPr>
          <w:p w14:paraId="35A4CB96"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FFFFF" w:themeFill="background1"/>
            <w:tcMar>
              <w:top w:w="100" w:type="dxa"/>
              <w:left w:w="150" w:type="dxa"/>
              <w:bottom w:w="100" w:type="dxa"/>
              <w:right w:w="150" w:type="dxa"/>
            </w:tcMar>
            <w:vAlign w:val="center"/>
          </w:tcPr>
          <w:p w14:paraId="0E230AA5" w14:textId="05775672" w:rsidR="00677850" w:rsidRDefault="009C1DC2">
            <w:pPr>
              <w:jc w:val="center"/>
            </w:pPr>
            <w:r>
              <w:rPr>
                <w:color w:val="282828"/>
                <w:sz w:val="19"/>
              </w:rPr>
              <w:t xml:space="preserve">Técnica </w:t>
            </w:r>
          </w:p>
        </w:tc>
        <w:tc>
          <w:tcPr>
            <w:tcW w:w="4608" w:type="dxa"/>
            <w:shd w:val="clear" w:color="auto" w:fill="FFFFFF" w:themeFill="background1"/>
            <w:tcMar>
              <w:top w:w="100" w:type="dxa"/>
              <w:left w:w="150" w:type="dxa"/>
              <w:bottom w:w="100" w:type="dxa"/>
              <w:right w:w="150" w:type="dxa"/>
            </w:tcMar>
            <w:vAlign w:val="center"/>
          </w:tcPr>
          <w:p w14:paraId="715C048D" w14:textId="77777777" w:rsidR="00677850" w:rsidRPr="009462CA" w:rsidRDefault="009C1DC2">
            <w:pPr>
              <w:rPr>
                <w:lang w:val="es-BO"/>
              </w:rPr>
            </w:pPr>
            <w:r w:rsidRPr="009462CA">
              <w:rPr>
                <w:color w:val="282828"/>
                <w:sz w:val="19"/>
                <w:lang w:val="es-BO"/>
              </w:rPr>
              <w:t xml:space="preserve">¿Qué mecanismos concretos brindará GIZ para asegurar la disponibilidad oportuna de las </w:t>
            </w:r>
            <w:r w:rsidRPr="009462CA">
              <w:rPr>
                <w:color w:val="282828"/>
                <w:sz w:val="19"/>
                <w:lang w:val="es-BO"/>
              </w:rPr>
              <w:lastRenderedPageBreak/>
              <w:t>instituciones durante los procesos de consulta? En caso de que demoras institucionales comprometan el cumplimiento de alguno de los hitos, ¿se contempla algún ajuste de plazos sin penalización para el contratista?</w:t>
            </w:r>
          </w:p>
        </w:tc>
        <w:tc>
          <w:tcPr>
            <w:tcW w:w="4091" w:type="dxa"/>
            <w:shd w:val="clear" w:color="auto" w:fill="FFFFFF" w:themeFill="background1"/>
            <w:tcMar>
              <w:top w:w="100" w:type="dxa"/>
              <w:left w:w="150" w:type="dxa"/>
              <w:bottom w:w="100" w:type="dxa"/>
              <w:right w:w="150" w:type="dxa"/>
            </w:tcMar>
            <w:vAlign w:val="center"/>
          </w:tcPr>
          <w:p w14:paraId="371974F4" w14:textId="6C5A8BC0" w:rsidR="00C27D45" w:rsidRPr="00C27D45" w:rsidRDefault="00C27D45" w:rsidP="00C27D45">
            <w:pPr>
              <w:rPr>
                <w:lang w:val="es-BO"/>
              </w:rPr>
            </w:pPr>
            <w:r w:rsidRPr="00C27D45">
              <w:rPr>
                <w:lang w:val="es-BO"/>
              </w:rPr>
              <w:lastRenderedPageBreak/>
              <w:t xml:space="preserve">GIZ apoyará la identificación de actores, la facilitación de contactos y </w:t>
            </w:r>
            <w:r w:rsidRPr="00C27D45">
              <w:rPr>
                <w:lang w:val="es-BO"/>
              </w:rPr>
              <w:lastRenderedPageBreak/>
              <w:t>la coordinación con las instituciones nacionales para promover su participación oportuna. No obstante, la disponibilidad de estas instituciones no puede garantizarse plenamente.</w:t>
            </w:r>
          </w:p>
          <w:p w14:paraId="7227804B" w14:textId="66A8949F" w:rsidR="00677850" w:rsidRPr="009462CA" w:rsidRDefault="00C27D45" w:rsidP="00C27D45">
            <w:pPr>
              <w:rPr>
                <w:lang w:val="es-BO"/>
              </w:rPr>
            </w:pPr>
            <w:r w:rsidRPr="00C27D45">
              <w:rPr>
                <w:lang w:val="es-BO"/>
              </w:rPr>
              <w:t>Si se presentan demoras ajenas al contratista que puedan afectar los hitos, estas deberán comunicarse y documentarse oportunamente. GIZ y el contratista evaluarán conjuntamente las medidas necesarias, incluido un eventual ajuste de plazos, que deberá acordarse previamente y formalizarse conforme a las condiciones contractuales. Por tanto, cualquier modificación será analizada caso por caso y no operará de manera automática.</w:t>
            </w:r>
          </w:p>
        </w:tc>
      </w:tr>
      <w:tr w:rsidR="00677850" w:rsidRPr="003047F2" w14:paraId="34A37ED5" w14:textId="77777777" w:rsidTr="588E4E83">
        <w:tc>
          <w:tcPr>
            <w:tcW w:w="720" w:type="dxa"/>
            <w:shd w:val="clear" w:color="auto" w:fill="F2F5F8"/>
            <w:tcMar>
              <w:top w:w="100" w:type="dxa"/>
              <w:left w:w="150" w:type="dxa"/>
              <w:bottom w:w="100" w:type="dxa"/>
              <w:right w:w="150" w:type="dxa"/>
            </w:tcMar>
            <w:vAlign w:val="center"/>
          </w:tcPr>
          <w:p w14:paraId="53FF933C" w14:textId="77777777" w:rsidR="00677850" w:rsidRDefault="009C1DC2">
            <w:pPr>
              <w:jc w:val="center"/>
            </w:pPr>
            <w:r>
              <w:rPr>
                <w:color w:val="282828"/>
                <w:sz w:val="19"/>
              </w:rPr>
              <w:lastRenderedPageBreak/>
              <w:t>22</w:t>
            </w:r>
          </w:p>
        </w:tc>
        <w:tc>
          <w:tcPr>
            <w:tcW w:w="1389" w:type="dxa"/>
            <w:shd w:val="clear" w:color="auto" w:fill="F2F5F8"/>
            <w:tcMar>
              <w:top w:w="100" w:type="dxa"/>
              <w:left w:w="150" w:type="dxa"/>
              <w:bottom w:w="100" w:type="dxa"/>
              <w:right w:w="150" w:type="dxa"/>
            </w:tcMar>
            <w:vAlign w:val="center"/>
          </w:tcPr>
          <w:p w14:paraId="0EC03F63" w14:textId="77777777" w:rsidR="00677850" w:rsidRDefault="009C1DC2">
            <w:pPr>
              <w:jc w:val="center"/>
            </w:pPr>
            <w:proofErr w:type="spellStart"/>
            <w:r>
              <w:rPr>
                <w:color w:val="282828"/>
                <w:sz w:val="19"/>
              </w:rPr>
              <w:t>Oferente</w:t>
            </w:r>
            <w:proofErr w:type="spellEnd"/>
            <w:r>
              <w:rPr>
                <w:color w:val="282828"/>
                <w:sz w:val="19"/>
              </w:rPr>
              <w:t xml:space="preserve"> 1</w:t>
            </w:r>
          </w:p>
        </w:tc>
        <w:tc>
          <w:tcPr>
            <w:tcW w:w="2212" w:type="dxa"/>
            <w:shd w:val="clear" w:color="auto" w:fill="F2F5F8"/>
            <w:tcMar>
              <w:top w:w="100" w:type="dxa"/>
              <w:left w:w="150" w:type="dxa"/>
              <w:bottom w:w="100" w:type="dxa"/>
              <w:right w:w="150" w:type="dxa"/>
            </w:tcMar>
            <w:vAlign w:val="center"/>
          </w:tcPr>
          <w:p w14:paraId="004C8399" w14:textId="27205294" w:rsidR="00677850" w:rsidRDefault="009C1DC2">
            <w:pPr>
              <w:jc w:val="center"/>
            </w:pPr>
            <w:proofErr w:type="spellStart"/>
            <w:r>
              <w:rPr>
                <w:color w:val="282828"/>
                <w:sz w:val="19"/>
              </w:rPr>
              <w:t>Administrativa</w:t>
            </w:r>
            <w:proofErr w:type="spellEnd"/>
            <w:r>
              <w:rPr>
                <w:color w:val="282828"/>
                <w:sz w:val="19"/>
              </w:rPr>
              <w:t xml:space="preserve"> </w:t>
            </w:r>
          </w:p>
        </w:tc>
        <w:tc>
          <w:tcPr>
            <w:tcW w:w="4608" w:type="dxa"/>
            <w:shd w:val="clear" w:color="auto" w:fill="F2F5F8"/>
            <w:tcMar>
              <w:top w:w="100" w:type="dxa"/>
              <w:left w:w="150" w:type="dxa"/>
              <w:bottom w:w="100" w:type="dxa"/>
              <w:right w:w="150" w:type="dxa"/>
            </w:tcMar>
            <w:vAlign w:val="center"/>
          </w:tcPr>
          <w:p w14:paraId="126134C4" w14:textId="77777777" w:rsidR="00677850" w:rsidRPr="009462CA" w:rsidRDefault="009C1DC2">
            <w:pPr>
              <w:rPr>
                <w:lang w:val="es-BO"/>
              </w:rPr>
            </w:pPr>
            <w:r w:rsidRPr="009462CA">
              <w:rPr>
                <w:color w:val="282828"/>
                <w:sz w:val="19"/>
                <w:lang w:val="es-BO"/>
              </w:rPr>
              <w:t>¿Cuáles son los umbrales de la Unión Europea que definen esta modalidad de contratación? ¿Existe un rango estimado o un monto máximo de referencia para la propuesta económica?</w:t>
            </w:r>
          </w:p>
        </w:tc>
        <w:tc>
          <w:tcPr>
            <w:tcW w:w="4091" w:type="dxa"/>
            <w:shd w:val="clear" w:color="auto" w:fill="F2F5F8"/>
            <w:tcMar>
              <w:top w:w="100" w:type="dxa"/>
              <w:left w:w="150" w:type="dxa"/>
              <w:bottom w:w="100" w:type="dxa"/>
              <w:right w:w="150" w:type="dxa"/>
            </w:tcMar>
            <w:vAlign w:val="center"/>
          </w:tcPr>
          <w:p w14:paraId="3631EED0" w14:textId="21D06277" w:rsidR="00677850" w:rsidRPr="00472125" w:rsidRDefault="00472125">
            <w:pPr>
              <w:rPr>
                <w:sz w:val="18"/>
                <w:szCs w:val="18"/>
                <w:lang w:val="es-BO"/>
              </w:rPr>
            </w:pPr>
            <w:r w:rsidRPr="00472125">
              <w:rPr>
                <w:sz w:val="18"/>
                <w:szCs w:val="18"/>
                <w:lang w:val="es-BO"/>
              </w:rPr>
              <w:t>La consultoría cuenta con un monto estimado que es netamente interno, la parte económica tiene una calificación sobre 30%</w:t>
            </w:r>
            <w:r>
              <w:rPr>
                <w:sz w:val="18"/>
                <w:szCs w:val="18"/>
                <w:lang w:val="es-BO"/>
              </w:rPr>
              <w:t xml:space="preserve">, presente su oferta </w:t>
            </w:r>
            <w:r w:rsidR="008D0D3B">
              <w:rPr>
                <w:sz w:val="18"/>
                <w:szCs w:val="18"/>
                <w:lang w:val="es-BO"/>
              </w:rPr>
              <w:t>de acuerdo con</w:t>
            </w:r>
            <w:r>
              <w:rPr>
                <w:sz w:val="18"/>
                <w:szCs w:val="18"/>
                <w:lang w:val="es-BO"/>
              </w:rPr>
              <w:t xml:space="preserve"> sus costos</w:t>
            </w:r>
          </w:p>
        </w:tc>
      </w:tr>
    </w:tbl>
    <w:p w14:paraId="7F457230" w14:textId="77777777" w:rsidR="00E239F0" w:rsidRPr="009462CA" w:rsidRDefault="00E239F0">
      <w:pPr>
        <w:rPr>
          <w:lang w:val="es-BO"/>
        </w:rPr>
      </w:pPr>
    </w:p>
    <w:sectPr w:rsidR="00E239F0" w:rsidRPr="009462CA" w:rsidSect="00907B5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517111412">
    <w:abstractNumId w:val="8"/>
  </w:num>
  <w:num w:numId="2" w16cid:durableId="314457023">
    <w:abstractNumId w:val="6"/>
  </w:num>
  <w:num w:numId="3" w16cid:durableId="765884222">
    <w:abstractNumId w:val="5"/>
  </w:num>
  <w:num w:numId="4" w16cid:durableId="258608112">
    <w:abstractNumId w:val="4"/>
  </w:num>
  <w:num w:numId="5" w16cid:durableId="2030259471">
    <w:abstractNumId w:val="7"/>
  </w:num>
  <w:num w:numId="6" w16cid:durableId="797142973">
    <w:abstractNumId w:val="3"/>
  </w:num>
  <w:num w:numId="7" w16cid:durableId="1399937146">
    <w:abstractNumId w:val="2"/>
  </w:num>
  <w:num w:numId="8" w16cid:durableId="486821375">
    <w:abstractNumId w:val="1"/>
  </w:num>
  <w:num w:numId="9" w16cid:durableId="185973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6BCB"/>
    <w:rsid w:val="0029639D"/>
    <w:rsid w:val="002B5A87"/>
    <w:rsid w:val="003047F2"/>
    <w:rsid w:val="00306621"/>
    <w:rsid w:val="00326F90"/>
    <w:rsid w:val="00423CF8"/>
    <w:rsid w:val="00472125"/>
    <w:rsid w:val="004A6B48"/>
    <w:rsid w:val="0052038F"/>
    <w:rsid w:val="005B78ED"/>
    <w:rsid w:val="00677850"/>
    <w:rsid w:val="006B2031"/>
    <w:rsid w:val="006F766B"/>
    <w:rsid w:val="008D0D3B"/>
    <w:rsid w:val="00907B55"/>
    <w:rsid w:val="009313C8"/>
    <w:rsid w:val="009462CA"/>
    <w:rsid w:val="009C1DC2"/>
    <w:rsid w:val="00AA1D8D"/>
    <w:rsid w:val="00B01678"/>
    <w:rsid w:val="00B47730"/>
    <w:rsid w:val="00C27D45"/>
    <w:rsid w:val="00C6201F"/>
    <w:rsid w:val="00CB0664"/>
    <w:rsid w:val="00E239F0"/>
    <w:rsid w:val="00FC693F"/>
    <w:rsid w:val="07B18B19"/>
    <w:rsid w:val="10F4F42A"/>
    <w:rsid w:val="1632517E"/>
    <w:rsid w:val="18BBE590"/>
    <w:rsid w:val="2126F4E1"/>
    <w:rsid w:val="2BE260B4"/>
    <w:rsid w:val="2C1BEB72"/>
    <w:rsid w:val="2E9B7DB9"/>
    <w:rsid w:val="3FE90FB9"/>
    <w:rsid w:val="4B1B2EF4"/>
    <w:rsid w:val="4F4B9780"/>
    <w:rsid w:val="50CCBA33"/>
    <w:rsid w:val="57C533AB"/>
    <w:rsid w:val="588E4E83"/>
    <w:rsid w:val="5EAB1BA9"/>
    <w:rsid w:val="6B7402DC"/>
    <w:rsid w:val="73078993"/>
    <w:rsid w:val="79BE2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45822D"/>
  <w14:defaultImageDpi w14:val="300"/>
  <w15:docId w15:val="{01BAA61D-DE5D-490D-807F-BD4685DF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Refdecomentario">
    <w:name w:val="annotation reference"/>
    <w:basedOn w:val="Fuentedeprrafopredeter"/>
    <w:uiPriority w:val="99"/>
    <w:semiHidden/>
    <w:unhideWhenUsed/>
    <w:rsid w:val="00276BCB"/>
    <w:rPr>
      <w:sz w:val="16"/>
      <w:szCs w:val="16"/>
    </w:rPr>
  </w:style>
  <w:style w:type="paragraph" w:styleId="Textocomentario">
    <w:name w:val="annotation text"/>
    <w:basedOn w:val="Normal"/>
    <w:link w:val="TextocomentarioCar"/>
    <w:uiPriority w:val="99"/>
    <w:unhideWhenUsed/>
    <w:rsid w:val="00276BCB"/>
    <w:pPr>
      <w:spacing w:line="240" w:lineRule="auto"/>
    </w:pPr>
    <w:rPr>
      <w:sz w:val="20"/>
      <w:szCs w:val="20"/>
    </w:rPr>
  </w:style>
  <w:style w:type="character" w:customStyle="1" w:styleId="TextocomentarioCar">
    <w:name w:val="Texto comentario Car"/>
    <w:basedOn w:val="Fuentedeprrafopredeter"/>
    <w:link w:val="Textocomentario"/>
    <w:uiPriority w:val="99"/>
    <w:rsid w:val="00276BCB"/>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276BCB"/>
    <w:rPr>
      <w:b/>
      <w:bCs/>
    </w:rPr>
  </w:style>
  <w:style w:type="character" w:customStyle="1" w:styleId="AsuntodelcomentarioCar">
    <w:name w:val="Asunto del comentario Car"/>
    <w:basedOn w:val="TextocomentarioCar"/>
    <w:link w:val="Asuntodelcomentario"/>
    <w:uiPriority w:val="99"/>
    <w:semiHidden/>
    <w:rsid w:val="00276BC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754FA02DCA72488A894E436BA3344B" ma:contentTypeVersion="19" ma:contentTypeDescription="Ein neues Dokument erstellen." ma:contentTypeScope="" ma:versionID="36b02622e20a48ed9ea28903fe74121c">
  <xsd:schema xmlns:xsd="http://www.w3.org/2001/XMLSchema" xmlns:xs="http://www.w3.org/2001/XMLSchema" xmlns:p="http://schemas.microsoft.com/office/2006/metadata/properties" xmlns:ns2="3b4ddbec-3349-4c85-93f9-32bd5c8d2b43" xmlns:ns3="d48a697e-fd98-49a0-85bc-f2587ce56d60" targetNamespace="http://schemas.microsoft.com/office/2006/metadata/properties" ma:root="true" ma:fieldsID="bff30e4fa7010caec992ea56de7a32c5" ns2:_="" ns3:_="">
    <xsd:import namespace="3b4ddbec-3349-4c85-93f9-32bd5c8d2b43"/>
    <xsd:import namespace="d48a697e-fd98-49a0-85bc-f2587ce56d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element ref="ns2:Descripci_x00f3_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ddbec-3349-4c85-93f9-32bd5c8d2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Descripci_x00f3_n" ma:index="26" nillable="true" ma:displayName="Descripción" ma:format="Dropdown" ma:internalName="Descripci_x00f3_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8a697e-fd98-49a0-85bc-f2587ce56d6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5b726283-28d6-455e-8bbf-c67c56c5d5fc}" ma:internalName="TaxCatchAll" ma:showField="CatchAllData" ma:web="d48a697e-fd98-49a0-85bc-f2587ce56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48a697e-fd98-49a0-85bc-f2587ce56d60" xsi:nil="true"/>
    <Descripci_x00f3_n xmlns="3b4ddbec-3349-4c85-93f9-32bd5c8d2b43" xsi:nil="true"/>
    <lcf76f155ced4ddcb4097134ff3c332f xmlns="3b4ddbec-3349-4c85-93f9-32bd5c8d2b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EE05E3-78C8-44C7-A1F9-763A3CFB454F}">
  <ds:schemaRefs>
    <ds:schemaRef ds:uri="http://schemas.microsoft.com/sharepoint/v3/contenttype/forms"/>
  </ds:schemaRefs>
</ds:datastoreItem>
</file>

<file path=customXml/itemProps2.xml><?xml version="1.0" encoding="utf-8"?>
<ds:datastoreItem xmlns:ds="http://schemas.openxmlformats.org/officeDocument/2006/customXml" ds:itemID="{24876A17-EB4B-40E5-8F2E-21ACF362F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ddbec-3349-4c85-93f9-32bd5c8d2b43"/>
    <ds:schemaRef ds:uri="d48a697e-fd98-49a0-85bc-f2587ce56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EFC55DCE-4AD8-4310-A872-A63F203F1D0B}">
  <ds:schemaRefs>
    <ds:schemaRef ds:uri="http://schemas.microsoft.com/office/2006/metadata/properties"/>
    <ds:schemaRef ds:uri="http://schemas.microsoft.com/office/infopath/2007/PartnerControls"/>
    <ds:schemaRef ds:uri="d48a697e-fd98-49a0-85bc-f2587ce56d60"/>
    <ds:schemaRef ds:uri="3b4ddbec-3349-4c85-93f9-32bd5c8d2b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2189</Words>
  <Characters>12479</Characters>
  <Application>Microsoft Office Word</Application>
  <DocSecurity>4</DocSecurity>
  <Lines>103</Lines>
  <Paragraphs>29</Paragraphs>
  <ScaleCrop>false</ScaleCrop>
  <Manager/>
  <Company/>
  <LinksUpToDate>false</LinksUpToDate>
  <CharactersWithSpaces>14639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Vasquez, Daniel GIZ BO</cp:lastModifiedBy>
  <cp:revision>2</cp:revision>
  <dcterms:created xsi:type="dcterms:W3CDTF">2026-07-21T22:01:00Z</dcterms:created>
  <dcterms:modified xsi:type="dcterms:W3CDTF">2026-07-21T22:01:00Z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0x0101009F754FA02DCA72488A894E436BA3344B</vt:lpwstr>
  </property>
  <property fmtid="{D5CDD505-2E9C-101B-9397-08002B2CF9AE}" pid="3" name="MediaServiceImageTags">
    <vt:lpwstr/>
  </property>
</Properties>
</file>