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D4" w:rsidRPr="00A842B0" w:rsidRDefault="001F5AD4"/>
    <w:p w:rsidR="001F5AD4" w:rsidRPr="00A842B0" w:rsidRDefault="001F5AD4">
      <w:pPr>
        <w:rPr>
          <w:rStyle w:val="Textoennegrita"/>
          <w:rFonts w:cs="Arial"/>
          <w:shd w:val="clear" w:color="auto" w:fill="FFFFFF"/>
        </w:rPr>
      </w:pPr>
    </w:p>
    <w:p w:rsidR="001F5AD4" w:rsidRPr="00A842B0" w:rsidRDefault="00FA43F8" w:rsidP="00FA43F8">
      <w:pPr>
        <w:jc w:val="center"/>
        <w:rPr>
          <w:rStyle w:val="Textoennegrita"/>
          <w:rFonts w:cs="Arial"/>
          <w:shd w:val="clear" w:color="auto" w:fill="FFFFFF"/>
        </w:rPr>
      </w:pPr>
      <w:r w:rsidRPr="00A842B0">
        <w:rPr>
          <w:rStyle w:val="Textoennegrita"/>
          <w:rFonts w:cs="Arial"/>
          <w:shd w:val="clear" w:color="auto" w:fill="FFFFFF"/>
        </w:rPr>
        <w:t>UNIVERSIDAD MAYOR DE SAN ANDR</w:t>
      </w:r>
      <w:r w:rsidR="00BE48B0" w:rsidRPr="00A842B0">
        <w:rPr>
          <w:rStyle w:val="Textoennegrita"/>
          <w:rFonts w:cs="Arial"/>
          <w:shd w:val="clear" w:color="auto" w:fill="FFFFFF"/>
        </w:rPr>
        <w:t>É</w:t>
      </w:r>
      <w:r w:rsidRPr="00A842B0">
        <w:rPr>
          <w:rStyle w:val="Textoennegrita"/>
          <w:rFonts w:cs="Arial"/>
          <w:shd w:val="clear" w:color="auto" w:fill="FFFFFF"/>
        </w:rPr>
        <w:t>S</w:t>
      </w:r>
    </w:p>
    <w:p w:rsidR="00FA43F8" w:rsidRPr="00A842B0" w:rsidRDefault="00FA43F8" w:rsidP="00FA43F8">
      <w:pPr>
        <w:jc w:val="center"/>
        <w:rPr>
          <w:rStyle w:val="Textoennegrita"/>
          <w:rFonts w:cs="Arial"/>
          <w:shd w:val="clear" w:color="auto" w:fill="FFFFFF"/>
        </w:rPr>
      </w:pPr>
      <w:r w:rsidRPr="00A842B0">
        <w:rPr>
          <w:rStyle w:val="Textoennegrita"/>
          <w:rFonts w:cs="Arial"/>
          <w:shd w:val="clear" w:color="auto" w:fill="FFFFFF"/>
        </w:rPr>
        <w:t>FACULTAD DE CIENCIAS PURAS Y NATURALES</w:t>
      </w:r>
    </w:p>
    <w:p w:rsidR="00FA43F8" w:rsidRPr="00A842B0" w:rsidRDefault="00FA43F8" w:rsidP="00FA43F8">
      <w:pPr>
        <w:jc w:val="center"/>
        <w:rPr>
          <w:rStyle w:val="Textoennegrita"/>
          <w:rFonts w:cs="Arial"/>
          <w:shd w:val="clear" w:color="auto" w:fill="FFFFFF"/>
        </w:rPr>
      </w:pPr>
      <w:r w:rsidRPr="00A842B0">
        <w:rPr>
          <w:rStyle w:val="Textoennegrita"/>
          <w:rFonts w:cs="Arial"/>
          <w:shd w:val="clear" w:color="auto" w:fill="FFFFFF"/>
        </w:rPr>
        <w:t>CARRERA DE INFORM</w:t>
      </w:r>
      <w:r w:rsidR="00BE48B0" w:rsidRPr="00A842B0">
        <w:rPr>
          <w:rStyle w:val="Textoennegrita"/>
          <w:rFonts w:cs="Arial"/>
          <w:shd w:val="clear" w:color="auto" w:fill="FFFFFF"/>
        </w:rPr>
        <w:t>Á</w:t>
      </w:r>
      <w:r w:rsidRPr="00A842B0">
        <w:rPr>
          <w:rStyle w:val="Textoennegrita"/>
          <w:rFonts w:cs="Arial"/>
          <w:shd w:val="clear" w:color="auto" w:fill="FFFFFF"/>
        </w:rPr>
        <w:t>TICA</w:t>
      </w:r>
    </w:p>
    <w:p w:rsidR="00FA43F8" w:rsidRPr="00A842B0" w:rsidRDefault="00FA43F8" w:rsidP="00FA43F8">
      <w:pPr>
        <w:jc w:val="center"/>
        <w:rPr>
          <w:rStyle w:val="Textoennegrita"/>
          <w:rFonts w:cs="Arial"/>
          <w:shd w:val="clear" w:color="auto" w:fill="FFFFFF"/>
        </w:rPr>
      </w:pPr>
      <w:r w:rsidRPr="00A842B0">
        <w:rPr>
          <w:rStyle w:val="Textoennegrita"/>
          <w:rFonts w:cs="Arial"/>
          <w:shd w:val="clear" w:color="auto" w:fill="FFFFFF"/>
        </w:rPr>
        <w:t>POSTGRADO DE INFORM</w:t>
      </w:r>
      <w:r w:rsidR="00BE48B0" w:rsidRPr="00A842B0">
        <w:rPr>
          <w:rStyle w:val="Textoennegrita"/>
          <w:rFonts w:cs="Arial"/>
          <w:shd w:val="clear" w:color="auto" w:fill="FFFFFF"/>
        </w:rPr>
        <w:t>Á</w:t>
      </w:r>
      <w:r w:rsidRPr="00A842B0">
        <w:rPr>
          <w:rStyle w:val="Textoennegrita"/>
          <w:rFonts w:cs="Arial"/>
          <w:shd w:val="clear" w:color="auto" w:fill="FFFFFF"/>
        </w:rPr>
        <w:t>TICA</w:t>
      </w:r>
    </w:p>
    <w:p w:rsidR="0077745C" w:rsidRPr="00A842B0" w:rsidRDefault="001F5AD4" w:rsidP="00FA43F8">
      <w:pPr>
        <w:jc w:val="center"/>
        <w:rPr>
          <w:rStyle w:val="Textoennegrita"/>
          <w:rFonts w:cs="Arial"/>
          <w:shd w:val="clear" w:color="auto" w:fill="FFFFFF"/>
        </w:rPr>
      </w:pPr>
      <w:r w:rsidRPr="00A842B0">
        <w:rPr>
          <w:rStyle w:val="Textoennegrita"/>
          <w:rFonts w:cs="Arial"/>
          <w:shd w:val="clear" w:color="auto" w:fill="FFFFFF"/>
        </w:rPr>
        <w:t>MAESTR</w:t>
      </w:r>
      <w:r w:rsidR="00BE48B0" w:rsidRPr="00A842B0">
        <w:rPr>
          <w:rStyle w:val="Textoennegrita"/>
          <w:rFonts w:cs="Arial"/>
          <w:shd w:val="clear" w:color="auto" w:fill="FFFFFF"/>
        </w:rPr>
        <w:t>Í</w:t>
      </w:r>
      <w:r w:rsidRPr="00A842B0">
        <w:rPr>
          <w:rStyle w:val="Textoennegrita"/>
          <w:rFonts w:cs="Arial"/>
          <w:shd w:val="clear" w:color="auto" w:fill="FFFFFF"/>
        </w:rPr>
        <w:t>A: ALTA GERENCIA EN TECNOLOGÍAS DE LA INFORMACIÓN Y LAS</w:t>
      </w:r>
      <w:r w:rsidR="0015127E" w:rsidRPr="00A842B0">
        <w:rPr>
          <w:rStyle w:val="Textoennegrita"/>
          <w:rFonts w:cs="Arial"/>
          <w:shd w:val="clear" w:color="auto" w:fill="FFFFFF"/>
        </w:rPr>
        <w:t xml:space="preserve"> </w:t>
      </w:r>
    </w:p>
    <w:p w:rsidR="001F5AD4" w:rsidRPr="00A842B0" w:rsidRDefault="001F5AD4" w:rsidP="00FA43F8">
      <w:pPr>
        <w:jc w:val="center"/>
      </w:pPr>
      <w:r w:rsidRPr="00A842B0">
        <w:rPr>
          <w:rStyle w:val="Textoennegrita"/>
          <w:rFonts w:cs="Arial"/>
          <w:shd w:val="clear" w:color="auto" w:fill="FFFFFF"/>
        </w:rPr>
        <w:t>COMUNICACIONES E INNOVACIÓN PARA EL DESARROLLO</w:t>
      </w:r>
    </w:p>
    <w:p w:rsidR="00FA43F8" w:rsidRPr="00A842B0" w:rsidRDefault="008E5D5C">
      <w:r w:rsidRPr="00A842B0">
        <w:rPr>
          <w:rFonts w:cs="Courier New"/>
          <w:noProof/>
          <w:sz w:val="28"/>
          <w:szCs w:val="28"/>
          <w:lang w:eastAsia="es-BO"/>
        </w:rPr>
        <w:drawing>
          <wp:anchor distT="0" distB="0" distL="114300" distR="114300" simplePos="0" relativeHeight="251659264" behindDoc="1" locked="0" layoutInCell="1" allowOverlap="1" wp14:anchorId="35A2C017" wp14:editId="3FAFFBB6">
            <wp:simplePos x="0" y="0"/>
            <wp:positionH relativeFrom="margin">
              <wp:posOffset>2107096</wp:posOffset>
            </wp:positionH>
            <wp:positionV relativeFrom="page">
              <wp:posOffset>3312519</wp:posOffset>
            </wp:positionV>
            <wp:extent cx="1199891" cy="2292626"/>
            <wp:effectExtent l="0" t="0" r="635" b="0"/>
            <wp:wrapTight wrapText="bothSides">
              <wp:wrapPolygon edited="0">
                <wp:start x="0" y="0"/>
                <wp:lineTo x="0" y="21361"/>
                <wp:lineTo x="21268" y="21361"/>
                <wp:lineTo x="21268" y="0"/>
                <wp:lineTo x="0" y="0"/>
              </wp:wrapPolygon>
            </wp:wrapTight>
            <wp:docPr id="3" name="Imagen 3" descr="http://blog.umsa.bo/wp/wp-content/uploads/2010/08/ums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umsa.bo/wp/wp-content/uploads/2010/08/ums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891" cy="2292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3F8" w:rsidRPr="00A842B0" w:rsidRDefault="00FA43F8" w:rsidP="00FA43F8">
      <w:pPr>
        <w:jc w:val="center"/>
      </w:pPr>
    </w:p>
    <w:p w:rsidR="008E5D5C" w:rsidRPr="00A842B0" w:rsidRDefault="008E5D5C" w:rsidP="00FA43F8">
      <w:pPr>
        <w:jc w:val="center"/>
        <w:rPr>
          <w:b/>
          <w:sz w:val="36"/>
        </w:rPr>
      </w:pPr>
    </w:p>
    <w:p w:rsidR="008E5D5C" w:rsidRPr="00A842B0" w:rsidRDefault="008E5D5C" w:rsidP="00FA43F8">
      <w:pPr>
        <w:jc w:val="center"/>
        <w:rPr>
          <w:b/>
          <w:sz w:val="36"/>
        </w:rPr>
      </w:pPr>
    </w:p>
    <w:p w:rsidR="008E5D5C" w:rsidRPr="00A842B0" w:rsidRDefault="008E5D5C" w:rsidP="00FA43F8">
      <w:pPr>
        <w:jc w:val="center"/>
        <w:rPr>
          <w:b/>
          <w:sz w:val="36"/>
        </w:rPr>
      </w:pPr>
    </w:p>
    <w:p w:rsidR="008E5D5C" w:rsidRPr="00A842B0" w:rsidRDefault="008E5D5C" w:rsidP="00FA43F8">
      <w:pPr>
        <w:jc w:val="center"/>
        <w:rPr>
          <w:b/>
          <w:sz w:val="36"/>
        </w:rPr>
      </w:pPr>
    </w:p>
    <w:p w:rsidR="008E5D5C" w:rsidRPr="00A842B0" w:rsidRDefault="008E5D5C" w:rsidP="00FA43F8">
      <w:pPr>
        <w:jc w:val="center"/>
        <w:rPr>
          <w:b/>
          <w:sz w:val="36"/>
        </w:rPr>
      </w:pPr>
    </w:p>
    <w:p w:rsidR="00FA43F8" w:rsidRPr="00A842B0" w:rsidRDefault="00860B31" w:rsidP="00860B31">
      <w:pPr>
        <w:jc w:val="center"/>
        <w:rPr>
          <w:b/>
          <w:sz w:val="32"/>
          <w:szCs w:val="32"/>
        </w:rPr>
      </w:pPr>
      <w:r w:rsidRPr="00A842B0">
        <w:rPr>
          <w:b/>
          <w:sz w:val="32"/>
          <w:szCs w:val="32"/>
        </w:rPr>
        <w:t>SEGUIMIENTO AL CUMPLIMIENTO DE LA OFERTA ELECTORAL</w:t>
      </w:r>
    </w:p>
    <w:p w:rsidR="0024097D" w:rsidRPr="00A842B0" w:rsidRDefault="0024097D" w:rsidP="0024097D">
      <w:pPr>
        <w:jc w:val="center"/>
        <w:rPr>
          <w:b/>
          <w:sz w:val="32"/>
          <w:szCs w:val="32"/>
        </w:rPr>
      </w:pPr>
      <w:r w:rsidRPr="00A842B0">
        <w:rPr>
          <w:rStyle w:val="nfasisintenso"/>
          <w:b/>
          <w:i w:val="0"/>
          <w:color w:val="auto"/>
          <w:sz w:val="32"/>
          <w:szCs w:val="32"/>
        </w:rPr>
        <w:t>GOBIERNO AUTÓNOMO MUNICIPAL SANTA CRUZ DE LA SIERRA</w:t>
      </w:r>
    </w:p>
    <w:p w:rsidR="001F5AD4" w:rsidRPr="00A842B0" w:rsidRDefault="001F5AD4" w:rsidP="00E338F7">
      <w:pPr>
        <w:ind w:left="2124"/>
      </w:pPr>
      <w:r w:rsidRPr="00A842B0">
        <w:rPr>
          <w:b/>
        </w:rPr>
        <w:t>MODULO</w:t>
      </w:r>
      <w:r w:rsidRPr="00A842B0">
        <w:t xml:space="preserve"> 1</w:t>
      </w:r>
      <w:r w:rsidR="004668A6" w:rsidRPr="00A842B0">
        <w:t>2</w:t>
      </w:r>
      <w:r w:rsidRPr="00A842B0">
        <w:t>:</w:t>
      </w:r>
      <w:r w:rsidR="00BE48B0" w:rsidRPr="00A842B0">
        <w:t xml:space="preserve"> </w:t>
      </w:r>
      <w:r w:rsidR="002A3D0A" w:rsidRPr="00A842B0">
        <w:t>Gestión Pública y Gobierno Electrónico</w:t>
      </w:r>
    </w:p>
    <w:p w:rsidR="008449AE" w:rsidRPr="00A842B0" w:rsidRDefault="001F5AD4" w:rsidP="00E338F7">
      <w:pPr>
        <w:ind w:left="2124"/>
      </w:pPr>
      <w:r w:rsidRPr="00A842B0">
        <w:rPr>
          <w:b/>
        </w:rPr>
        <w:t>DOCENTE</w:t>
      </w:r>
      <w:r w:rsidRPr="00A842B0">
        <w:t>:</w:t>
      </w:r>
      <w:r w:rsidR="00BE48B0" w:rsidRPr="00A842B0">
        <w:t xml:space="preserve"> </w:t>
      </w:r>
      <w:r w:rsidR="008449AE" w:rsidRPr="00A842B0">
        <w:t xml:space="preserve">Dr. Mario Galindo </w:t>
      </w:r>
      <w:proofErr w:type="spellStart"/>
      <w:r w:rsidR="008449AE" w:rsidRPr="00A842B0">
        <w:t>Soza</w:t>
      </w:r>
      <w:proofErr w:type="spellEnd"/>
      <w:r w:rsidR="008449AE" w:rsidRPr="00A842B0">
        <w:t xml:space="preserve"> </w:t>
      </w:r>
    </w:p>
    <w:p w:rsidR="001F5AD4" w:rsidRPr="00A842B0" w:rsidRDefault="001F5AD4" w:rsidP="00E338F7">
      <w:pPr>
        <w:ind w:left="2124"/>
      </w:pPr>
      <w:r w:rsidRPr="00A842B0">
        <w:rPr>
          <w:b/>
        </w:rPr>
        <w:t>INTEGRANTES</w:t>
      </w:r>
      <w:r w:rsidRPr="00A842B0">
        <w:t>:</w:t>
      </w:r>
    </w:p>
    <w:p w:rsidR="001F5AD4" w:rsidRPr="00A842B0" w:rsidRDefault="001F5AD4" w:rsidP="00E338F7">
      <w:pPr>
        <w:ind w:left="2832"/>
      </w:pPr>
      <w:r w:rsidRPr="00A842B0">
        <w:t>Alicia Estrada Cava</w:t>
      </w:r>
    </w:p>
    <w:p w:rsidR="001F5AD4" w:rsidRPr="00A842B0" w:rsidRDefault="004668A6" w:rsidP="00E338F7">
      <w:pPr>
        <w:ind w:left="2832"/>
      </w:pPr>
      <w:r w:rsidRPr="00A842B0">
        <w:t>Wil</w:t>
      </w:r>
      <w:r w:rsidR="00BE48B0" w:rsidRPr="00A842B0">
        <w:t>ma Choque Salas</w:t>
      </w:r>
    </w:p>
    <w:p w:rsidR="00BE48B0" w:rsidRPr="00A842B0" w:rsidRDefault="00BE48B0" w:rsidP="00BE48B0"/>
    <w:p w:rsidR="00BE48B0" w:rsidRPr="00A842B0" w:rsidRDefault="00BE48B0" w:rsidP="00BE48B0">
      <w:pPr>
        <w:jc w:val="center"/>
      </w:pPr>
      <w:r w:rsidRPr="00A842B0">
        <w:t>La Paz - Bolivia</w:t>
      </w:r>
    </w:p>
    <w:p w:rsidR="001F5AD4" w:rsidRPr="00A842B0" w:rsidRDefault="004668A6" w:rsidP="00BE48B0">
      <w:pPr>
        <w:jc w:val="center"/>
        <w:rPr>
          <w:rFonts w:eastAsiaTheme="majorEastAsia" w:cstheme="majorBidi"/>
        </w:rPr>
      </w:pPr>
      <w:r w:rsidRPr="00A842B0">
        <w:t>2017</w:t>
      </w:r>
      <w:r w:rsidR="001F5AD4" w:rsidRPr="00A842B0">
        <w:br w:type="page"/>
      </w:r>
    </w:p>
    <w:p w:rsidR="00224A73" w:rsidRPr="00A842B0" w:rsidRDefault="00224A73" w:rsidP="00224A73">
      <w:pPr>
        <w:pStyle w:val="Ttulo1"/>
        <w:rPr>
          <w:rFonts w:asciiTheme="minorHAnsi" w:hAnsiTheme="minorHAnsi"/>
          <w:color w:val="aut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13428908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0172D" w:rsidRDefault="0060172D">
          <w:pPr>
            <w:pStyle w:val="TtulodeTDC"/>
            <w:rPr>
              <w:rFonts w:asciiTheme="minorHAnsi" w:hAnsiTheme="minorHAnsi"/>
              <w:b/>
              <w:color w:val="auto"/>
              <w:lang w:val="es-ES"/>
            </w:rPr>
          </w:pPr>
          <w:r w:rsidRPr="00A842B0">
            <w:rPr>
              <w:rFonts w:asciiTheme="minorHAnsi" w:hAnsiTheme="minorHAnsi"/>
              <w:b/>
              <w:color w:val="auto"/>
              <w:lang w:val="es-ES"/>
            </w:rPr>
            <w:t>Contenido</w:t>
          </w:r>
        </w:p>
        <w:p w:rsidR="002443B8" w:rsidRPr="002443B8" w:rsidRDefault="002443B8" w:rsidP="002443B8">
          <w:pPr>
            <w:rPr>
              <w:lang w:val="es-ES" w:eastAsia="es-BO"/>
            </w:rPr>
          </w:pPr>
        </w:p>
        <w:p w:rsidR="00617A4A" w:rsidRPr="009C08E3" w:rsidRDefault="0060172D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r w:rsidRPr="009C08E3">
            <w:fldChar w:fldCharType="begin"/>
          </w:r>
          <w:r w:rsidRPr="009C08E3">
            <w:instrText xml:space="preserve"> TOC \o "1-3" \h \z \u </w:instrText>
          </w:r>
          <w:r w:rsidRPr="009C08E3">
            <w:fldChar w:fldCharType="separate"/>
          </w:r>
          <w:hyperlink w:anchor="_Toc478327989" w:history="1">
            <w:r w:rsidR="00617A4A" w:rsidRPr="009C08E3">
              <w:rPr>
                <w:rStyle w:val="Hipervnculo"/>
                <w:noProof/>
              </w:rPr>
              <w:t>1)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Introducción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_Toc478327989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3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17A4A" w:rsidRPr="009C08E3" w:rsidRDefault="006F67A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hyperlink w:anchor="_Toc478327990" w:history="1">
            <w:r w:rsidR="00617A4A" w:rsidRPr="009C08E3">
              <w:rPr>
                <w:rStyle w:val="Hipervnculo"/>
                <w:noProof/>
              </w:rPr>
              <w:t>2)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Oferta electoral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_Toc478327990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3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17A4A" w:rsidRPr="009C08E3" w:rsidRDefault="006F67A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hyperlink w:anchor="_Toc478327991" w:history="1">
            <w:r w:rsidR="00617A4A" w:rsidRPr="009C08E3">
              <w:rPr>
                <w:rStyle w:val="Hipervnculo"/>
                <w:noProof/>
              </w:rPr>
              <w:t>3)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Priorización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_Toc478327991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5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17A4A" w:rsidRPr="009C08E3" w:rsidRDefault="006F67A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hyperlink w:anchor="_Toc478327992" w:history="1">
            <w:r w:rsidR="00617A4A" w:rsidRPr="009C08E3">
              <w:rPr>
                <w:rStyle w:val="Hipervnculo"/>
                <w:noProof/>
              </w:rPr>
              <w:t>4)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Proyectos y programas 2017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_Toc478327992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7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17A4A" w:rsidRPr="009C08E3" w:rsidRDefault="006F67A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hyperlink w:anchor="_Toc478327993" w:history="1">
            <w:r w:rsidR="00617A4A" w:rsidRPr="009C08E3">
              <w:rPr>
                <w:rStyle w:val="Hipervnculo"/>
                <w:noProof/>
              </w:rPr>
              <w:t>5)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Cumplimiento de Oferta Electoral 2016 (Diciembre 2016)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_Toc478327993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9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17A4A" w:rsidRPr="009C08E3" w:rsidRDefault="006F67A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hyperlink w:anchor="_Toc478327994" w:history="1">
            <w:r w:rsidR="00617A4A" w:rsidRPr="009C08E3">
              <w:rPr>
                <w:rStyle w:val="Hipervnculo"/>
                <w:noProof/>
              </w:rPr>
              <w:t>6)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Valor público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_Toc478327994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11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17A4A" w:rsidRPr="009C08E3" w:rsidRDefault="006F67A4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BO"/>
            </w:rPr>
          </w:pPr>
          <w:hyperlink w:anchor="_Toc478327995" w:history="1">
            <w:r w:rsidR="00617A4A" w:rsidRPr="009C08E3">
              <w:rPr>
                <w:rStyle w:val="Hipervnculo"/>
                <w:noProof/>
              </w:rPr>
              <w:t>7)</w:t>
            </w:r>
            <w:r w:rsidR="00617A4A" w:rsidRPr="009C08E3">
              <w:rPr>
                <w:rFonts w:eastAsiaTheme="minorEastAsia"/>
                <w:noProof/>
                <w:lang w:eastAsia="es-BO"/>
              </w:rPr>
              <w:tab/>
            </w:r>
            <w:r w:rsidR="00617A4A" w:rsidRPr="009C08E3">
              <w:rPr>
                <w:rStyle w:val="Hipervnculo"/>
                <w:noProof/>
              </w:rPr>
              <w:t>Bibliografía</w:t>
            </w:r>
            <w:r w:rsidR="00617A4A" w:rsidRPr="009C08E3">
              <w:rPr>
                <w:noProof/>
                <w:webHidden/>
              </w:rPr>
              <w:tab/>
            </w:r>
            <w:r w:rsidR="00617A4A" w:rsidRPr="009C08E3">
              <w:rPr>
                <w:noProof/>
                <w:webHidden/>
              </w:rPr>
              <w:fldChar w:fldCharType="begin"/>
            </w:r>
            <w:r w:rsidR="00617A4A" w:rsidRPr="009C08E3">
              <w:rPr>
                <w:noProof/>
                <w:webHidden/>
              </w:rPr>
              <w:instrText xml:space="preserve"> PAGEREF _Toc478327995 \h </w:instrText>
            </w:r>
            <w:r w:rsidR="00617A4A" w:rsidRPr="009C08E3">
              <w:rPr>
                <w:noProof/>
                <w:webHidden/>
              </w:rPr>
            </w:r>
            <w:r w:rsidR="00617A4A" w:rsidRPr="009C08E3">
              <w:rPr>
                <w:noProof/>
                <w:webHidden/>
              </w:rPr>
              <w:fldChar w:fldCharType="separate"/>
            </w:r>
            <w:r w:rsidR="00617A4A" w:rsidRPr="009C08E3">
              <w:rPr>
                <w:noProof/>
                <w:webHidden/>
              </w:rPr>
              <w:t>12</w:t>
            </w:r>
            <w:r w:rsidR="00617A4A" w:rsidRPr="009C08E3">
              <w:rPr>
                <w:noProof/>
                <w:webHidden/>
              </w:rPr>
              <w:fldChar w:fldCharType="end"/>
            </w:r>
          </w:hyperlink>
        </w:p>
        <w:p w:rsidR="0060172D" w:rsidRPr="00A842B0" w:rsidRDefault="0060172D">
          <w:r w:rsidRPr="009C08E3">
            <w:rPr>
              <w:bCs/>
              <w:lang w:val="es-ES"/>
            </w:rPr>
            <w:fldChar w:fldCharType="end"/>
          </w:r>
        </w:p>
      </w:sdtContent>
    </w:sdt>
    <w:p w:rsidR="0060172D" w:rsidRPr="00A842B0" w:rsidRDefault="0060172D">
      <w:pPr>
        <w:rPr>
          <w:rFonts w:eastAsiaTheme="majorEastAsia" w:cstheme="majorBidi"/>
          <w:sz w:val="32"/>
          <w:szCs w:val="32"/>
        </w:rPr>
      </w:pPr>
      <w:r w:rsidRPr="00A842B0">
        <w:br w:type="page"/>
      </w:r>
    </w:p>
    <w:p w:rsidR="00860B31" w:rsidRPr="00675A4D" w:rsidRDefault="00860B31" w:rsidP="00860B31">
      <w:pPr>
        <w:pStyle w:val="Puesto"/>
        <w:jc w:val="center"/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</w:pPr>
      <w:r w:rsidRPr="00675A4D"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  <w:lastRenderedPageBreak/>
        <w:t>SEGUIMIENTO AL CUMPLIMIENTO DE LA OFERTA ELECTORAL</w:t>
      </w:r>
    </w:p>
    <w:p w:rsidR="00654290" w:rsidRPr="00675A4D" w:rsidRDefault="00860B31" w:rsidP="00860B31">
      <w:pPr>
        <w:pStyle w:val="Puesto"/>
        <w:jc w:val="center"/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</w:pPr>
      <w:r w:rsidRPr="00675A4D"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  <w:t>GOBIERNO</w:t>
      </w:r>
      <w:r w:rsidR="0024097D" w:rsidRPr="00675A4D"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  <w:t xml:space="preserve"> AUTÓNOMO </w:t>
      </w:r>
      <w:r w:rsidRPr="00675A4D"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  <w:t>MUNICIPAL SANTA CRUZ</w:t>
      </w:r>
      <w:r w:rsidR="0024097D" w:rsidRPr="00675A4D">
        <w:rPr>
          <w:rStyle w:val="nfasisintenso"/>
          <w:rFonts w:asciiTheme="minorHAnsi" w:hAnsiTheme="minorHAnsi"/>
          <w:b/>
          <w:i w:val="0"/>
          <w:color w:val="auto"/>
          <w:sz w:val="32"/>
          <w:szCs w:val="32"/>
        </w:rPr>
        <w:t xml:space="preserve"> DE LA SIERRA</w:t>
      </w:r>
    </w:p>
    <w:p w:rsidR="00AD52E4" w:rsidRPr="00A842B0" w:rsidRDefault="00E35934" w:rsidP="001549D7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b/>
          <w:color w:val="auto"/>
        </w:rPr>
      </w:pPr>
      <w:bookmarkStart w:id="0" w:name="_Toc478327989"/>
      <w:r w:rsidRPr="00A842B0">
        <w:rPr>
          <w:rFonts w:asciiTheme="minorHAnsi" w:hAnsiTheme="minorHAnsi"/>
          <w:b/>
          <w:color w:val="auto"/>
        </w:rPr>
        <w:t>Introducción</w:t>
      </w:r>
      <w:bookmarkEnd w:id="0"/>
      <w:r w:rsidR="0060172D" w:rsidRPr="00A842B0">
        <w:rPr>
          <w:rFonts w:asciiTheme="minorHAnsi" w:hAnsiTheme="minorHAnsi"/>
          <w:b/>
          <w:color w:val="auto"/>
        </w:rPr>
        <w:t xml:space="preserve"> </w:t>
      </w:r>
    </w:p>
    <w:p w:rsidR="00AD52E4" w:rsidRPr="00A842B0" w:rsidRDefault="006D27FF" w:rsidP="006C4559">
      <w:pPr>
        <w:jc w:val="both"/>
      </w:pPr>
      <w:r w:rsidRPr="00A842B0">
        <w:t>El programa electoral</w:t>
      </w:r>
      <w:r w:rsidR="006E381D" w:rsidRPr="00A842B0">
        <w:t xml:space="preserve"> es</w:t>
      </w:r>
      <w:r w:rsidRPr="00A842B0">
        <w:t xml:space="preserve"> un conjunto de demandas y necesidades que se generan en un proceso electoral para la elaboración y construcción de planes de gobierno que delimitaran la agenda política en un lapso de</w:t>
      </w:r>
      <w:r w:rsidR="006E381D" w:rsidRPr="00A842B0">
        <w:t xml:space="preserve"> cinco (</w:t>
      </w:r>
      <w:r w:rsidRPr="00A842B0">
        <w:t>5</w:t>
      </w:r>
      <w:r w:rsidR="006E381D" w:rsidRPr="00A842B0">
        <w:t>)</w:t>
      </w:r>
      <w:r w:rsidRPr="00A842B0">
        <w:t xml:space="preserve"> o más años según cada diseño electoral</w:t>
      </w:r>
      <w:r w:rsidR="006E381D" w:rsidRPr="00A842B0">
        <w:t xml:space="preserve">, al respecto el </w:t>
      </w:r>
      <w:r w:rsidRPr="00A842B0">
        <w:t xml:space="preserve">seguimiento al </w:t>
      </w:r>
      <w:r w:rsidR="00427441" w:rsidRPr="00A842B0">
        <w:t>cumplimiento de</w:t>
      </w:r>
      <w:r w:rsidRPr="00A842B0">
        <w:t xml:space="preserve"> las ofertas electorales</w:t>
      </w:r>
      <w:r w:rsidR="006E381D" w:rsidRPr="00A842B0">
        <w:t xml:space="preserve"> en el Gobierno A</w:t>
      </w:r>
      <w:r w:rsidR="0024097D" w:rsidRPr="00A842B0">
        <w:t>utónomo Municipal de Santa Cruz de la Sierra</w:t>
      </w:r>
      <w:r w:rsidR="00427441" w:rsidRPr="00A842B0">
        <w:t xml:space="preserve">, </w:t>
      </w:r>
      <w:r w:rsidR="0024097D" w:rsidRPr="00A842B0">
        <w:t>se realizará en función a</w:t>
      </w:r>
      <w:r w:rsidR="00007969" w:rsidRPr="00A842B0">
        <w:t xml:space="preserve"> los datos recolectados </w:t>
      </w:r>
      <w:r w:rsidR="0024097D" w:rsidRPr="00A842B0">
        <w:t xml:space="preserve">como información presupuestaria, </w:t>
      </w:r>
      <w:r w:rsidR="00007969" w:rsidRPr="00A842B0">
        <w:t xml:space="preserve"> informes de cumplimientos</w:t>
      </w:r>
      <w:r w:rsidR="0024097D" w:rsidRPr="00A842B0">
        <w:t xml:space="preserve"> a la ejecución presupuestaria, Planes Operativos Anuales para las gestiones 2016 y 2017</w:t>
      </w:r>
      <w:r w:rsidR="00007969" w:rsidRPr="00A842B0">
        <w:t>.</w:t>
      </w:r>
    </w:p>
    <w:p w:rsidR="00007969" w:rsidRPr="00A842B0" w:rsidRDefault="00CB1701" w:rsidP="006C4559">
      <w:pPr>
        <w:jc w:val="both"/>
      </w:pPr>
      <w:r w:rsidRPr="00A842B0">
        <w:t xml:space="preserve">El presente documento se elabora en función a los resultados </w:t>
      </w:r>
      <w:r w:rsidR="00496424" w:rsidRPr="00A842B0">
        <w:t>oficiales del Tribunal Supremo Electoral</w:t>
      </w:r>
      <w:r w:rsidRPr="00A842B0">
        <w:t xml:space="preserve"> (TSE) correspondiente a las </w:t>
      </w:r>
      <w:r w:rsidR="00DE6340" w:rsidRPr="00A842B0">
        <w:t xml:space="preserve">elecciones </w:t>
      </w:r>
      <w:proofErr w:type="spellStart"/>
      <w:r w:rsidR="00DE6340" w:rsidRPr="00A842B0">
        <w:t>Subnacionales</w:t>
      </w:r>
      <w:proofErr w:type="spellEnd"/>
      <w:r w:rsidR="00DE6340" w:rsidRPr="00A842B0">
        <w:t xml:space="preserve"> de</w:t>
      </w:r>
      <w:r w:rsidR="00D54719">
        <w:t xml:space="preserve"> </w:t>
      </w:r>
      <w:r w:rsidR="00DE6340" w:rsidRPr="00A842B0">
        <w:t>l</w:t>
      </w:r>
      <w:r w:rsidR="00D54719">
        <w:t>a gestión</w:t>
      </w:r>
      <w:r w:rsidR="00DE6340" w:rsidRPr="00A842B0">
        <w:t xml:space="preserve"> 2015</w:t>
      </w:r>
      <w:r w:rsidRPr="00A842B0">
        <w:t>, en la que se tiene los siguientes candidatos</w:t>
      </w:r>
      <w:r w:rsidR="00496424" w:rsidRPr="00A842B0">
        <w:t>:</w:t>
      </w:r>
    </w:p>
    <w:p w:rsidR="00007969" w:rsidRPr="00A842B0" w:rsidRDefault="00007969" w:rsidP="006C4559">
      <w:pPr>
        <w:pStyle w:val="Prrafodelista"/>
        <w:numPr>
          <w:ilvl w:val="0"/>
          <w:numId w:val="6"/>
        </w:numPr>
        <w:jc w:val="both"/>
      </w:pPr>
      <w:proofErr w:type="spellStart"/>
      <w:r w:rsidRPr="00A842B0">
        <w:t>Percy</w:t>
      </w:r>
      <w:proofErr w:type="spellEnd"/>
      <w:r w:rsidRPr="00A842B0">
        <w:t xml:space="preserve"> Fernández</w:t>
      </w:r>
      <w:r w:rsidR="00CB1701" w:rsidRPr="00A842B0">
        <w:t xml:space="preserve"> (</w:t>
      </w:r>
      <w:r w:rsidRPr="00A842B0">
        <w:t>SCPT</w:t>
      </w:r>
      <w:r w:rsidR="00CB1701" w:rsidRPr="00A842B0">
        <w:t>)</w:t>
      </w:r>
      <w:r w:rsidRPr="00A842B0">
        <w:t xml:space="preserve"> con</w:t>
      </w:r>
      <w:r w:rsidR="00496424" w:rsidRPr="00A842B0">
        <w:t xml:space="preserve"> 42.4</w:t>
      </w:r>
      <w:r w:rsidRPr="00A842B0">
        <w:t>%.</w:t>
      </w:r>
    </w:p>
    <w:p w:rsidR="00007969" w:rsidRPr="00A842B0" w:rsidRDefault="00496424" w:rsidP="006C4559">
      <w:pPr>
        <w:pStyle w:val="Prrafodelista"/>
        <w:numPr>
          <w:ilvl w:val="0"/>
          <w:numId w:val="6"/>
        </w:numPr>
        <w:jc w:val="both"/>
      </w:pPr>
      <w:proofErr w:type="spellStart"/>
      <w:r w:rsidRPr="00A842B0">
        <w:t>Reymi</w:t>
      </w:r>
      <w:proofErr w:type="spellEnd"/>
      <w:r w:rsidRPr="00A842B0">
        <w:t xml:space="preserve"> Ferreira </w:t>
      </w:r>
      <w:r w:rsidR="00CB1701" w:rsidRPr="00A842B0">
        <w:t>(</w:t>
      </w:r>
      <w:r w:rsidRPr="00A842B0">
        <w:t>MAS</w:t>
      </w:r>
      <w:r w:rsidR="00CB1701" w:rsidRPr="00A842B0">
        <w:t>)</w:t>
      </w:r>
      <w:r w:rsidRPr="00A842B0">
        <w:t xml:space="preserve"> con 24,28</w:t>
      </w:r>
      <w:r w:rsidR="00007969" w:rsidRPr="00A842B0">
        <w:t>%.</w:t>
      </w:r>
    </w:p>
    <w:p w:rsidR="00007969" w:rsidRPr="00A842B0" w:rsidRDefault="00C848F8" w:rsidP="006C4559">
      <w:pPr>
        <w:pStyle w:val="Prrafodelista"/>
        <w:numPr>
          <w:ilvl w:val="0"/>
          <w:numId w:val="6"/>
        </w:numPr>
        <w:jc w:val="both"/>
      </w:pPr>
      <w:r w:rsidRPr="00A842B0">
        <w:t xml:space="preserve">Roberto </w:t>
      </w:r>
      <w:r w:rsidR="003D029F" w:rsidRPr="00A842B0">
        <w:t>Fernández</w:t>
      </w:r>
      <w:r w:rsidRPr="00A842B0">
        <w:t xml:space="preserve"> </w:t>
      </w:r>
      <w:r w:rsidR="00CB1701" w:rsidRPr="00A842B0">
        <w:t>(</w:t>
      </w:r>
      <w:r w:rsidRPr="00A842B0">
        <w:t>USC</w:t>
      </w:r>
      <w:r w:rsidR="00CB1701" w:rsidRPr="00A842B0">
        <w:t>)</w:t>
      </w:r>
      <w:r w:rsidRPr="00A842B0">
        <w:t xml:space="preserve"> con 22</w:t>
      </w:r>
      <w:r w:rsidR="00496424" w:rsidRPr="00A842B0">
        <w:t>,58</w:t>
      </w:r>
      <w:r w:rsidRPr="00A842B0">
        <w:t>%.</w:t>
      </w:r>
    </w:p>
    <w:p w:rsidR="00C848F8" w:rsidRPr="00A842B0" w:rsidRDefault="00C848F8" w:rsidP="006C4559">
      <w:pPr>
        <w:pStyle w:val="Prrafodelista"/>
        <w:numPr>
          <w:ilvl w:val="0"/>
          <w:numId w:val="6"/>
        </w:numPr>
        <w:jc w:val="both"/>
      </w:pPr>
      <w:r w:rsidRPr="00A842B0">
        <w:t xml:space="preserve">Ernesto Justiniano </w:t>
      </w:r>
      <w:r w:rsidR="00CB1701" w:rsidRPr="00A842B0">
        <w:t>(</w:t>
      </w:r>
      <w:r w:rsidRPr="00A842B0">
        <w:t>UN</w:t>
      </w:r>
      <w:r w:rsidR="00CB1701" w:rsidRPr="00A842B0">
        <w:t>)</w:t>
      </w:r>
      <w:r w:rsidRPr="00A842B0">
        <w:t xml:space="preserve"> con 4</w:t>
      </w:r>
      <w:r w:rsidR="00496424" w:rsidRPr="00A842B0">
        <w:t>,16</w:t>
      </w:r>
      <w:r w:rsidRPr="00A842B0">
        <w:t>%.</w:t>
      </w:r>
    </w:p>
    <w:p w:rsidR="00C848F8" w:rsidRPr="00A842B0" w:rsidRDefault="00496424" w:rsidP="006C4559">
      <w:pPr>
        <w:pStyle w:val="Prrafodelista"/>
        <w:numPr>
          <w:ilvl w:val="0"/>
          <w:numId w:val="6"/>
        </w:numPr>
        <w:jc w:val="both"/>
      </w:pPr>
      <w:r w:rsidRPr="00A842B0">
        <w:t xml:space="preserve">Oscar Vargas </w:t>
      </w:r>
      <w:r w:rsidR="00CB1701" w:rsidRPr="00A842B0">
        <w:t>(</w:t>
      </w:r>
      <w:r w:rsidRPr="00A842B0">
        <w:t>SOL</w:t>
      </w:r>
      <w:r w:rsidR="00CB1701" w:rsidRPr="00A842B0">
        <w:t>)</w:t>
      </w:r>
      <w:r w:rsidRPr="00A842B0">
        <w:t xml:space="preserve"> con 3,73</w:t>
      </w:r>
      <w:r w:rsidR="00C848F8" w:rsidRPr="00A842B0">
        <w:t>%.</w:t>
      </w:r>
    </w:p>
    <w:p w:rsidR="00C848F8" w:rsidRPr="00A842B0" w:rsidRDefault="00C848F8" w:rsidP="006C4559">
      <w:pPr>
        <w:pStyle w:val="Prrafodelista"/>
        <w:numPr>
          <w:ilvl w:val="0"/>
          <w:numId w:val="6"/>
        </w:numPr>
        <w:jc w:val="both"/>
      </w:pPr>
      <w:proofErr w:type="spellStart"/>
      <w:r w:rsidRPr="00A842B0">
        <w:t>Kary</w:t>
      </w:r>
      <w:proofErr w:type="spellEnd"/>
      <w:r w:rsidRPr="00A842B0">
        <w:t xml:space="preserve"> Prado </w:t>
      </w:r>
      <w:r w:rsidR="00CB1701" w:rsidRPr="00A842B0">
        <w:t>(</w:t>
      </w:r>
      <w:r w:rsidRPr="00A842B0">
        <w:t>MNR</w:t>
      </w:r>
      <w:r w:rsidR="00CB1701" w:rsidRPr="00A842B0">
        <w:t>)</w:t>
      </w:r>
      <w:r w:rsidRPr="00A842B0">
        <w:t xml:space="preserve"> con 2</w:t>
      </w:r>
      <w:r w:rsidR="00496424" w:rsidRPr="00A842B0">
        <w:t>,49</w:t>
      </w:r>
      <w:r w:rsidRPr="00A842B0">
        <w:t>%.</w:t>
      </w:r>
    </w:p>
    <w:p w:rsidR="00496424" w:rsidRPr="00A842B0" w:rsidRDefault="00496424" w:rsidP="006C4559">
      <w:pPr>
        <w:pStyle w:val="Prrafodelista"/>
        <w:numPr>
          <w:ilvl w:val="0"/>
          <w:numId w:val="6"/>
        </w:numPr>
        <w:jc w:val="both"/>
      </w:pPr>
      <w:r w:rsidRPr="00A842B0">
        <w:t xml:space="preserve">Bella Carrillo </w:t>
      </w:r>
      <w:r w:rsidR="00CB1701" w:rsidRPr="00A842B0">
        <w:t>(</w:t>
      </w:r>
      <w:r w:rsidRPr="00A842B0">
        <w:t>FPV</w:t>
      </w:r>
      <w:r w:rsidR="00CB1701" w:rsidRPr="00A842B0">
        <w:t>)</w:t>
      </w:r>
      <w:r w:rsidRPr="00A842B0">
        <w:t xml:space="preserve"> con 0,35%</w:t>
      </w:r>
    </w:p>
    <w:p w:rsidR="00C848F8" w:rsidRPr="00A842B0" w:rsidRDefault="003D029F" w:rsidP="006C4559">
      <w:pPr>
        <w:jc w:val="both"/>
      </w:pPr>
      <w:r w:rsidRPr="00A842B0">
        <w:t xml:space="preserve">Al respecto, el Sr. </w:t>
      </w:r>
      <w:proofErr w:type="spellStart"/>
      <w:r w:rsidR="004D6408" w:rsidRPr="00A842B0">
        <w:t>Percy</w:t>
      </w:r>
      <w:proofErr w:type="spellEnd"/>
      <w:r w:rsidR="004D6408" w:rsidRPr="00A842B0">
        <w:t xml:space="preserve"> Fernández del </w:t>
      </w:r>
      <w:r w:rsidR="00991C46" w:rsidRPr="00A842B0">
        <w:t>Agrupación Ciudadana Santa Cruz Para Todos (</w:t>
      </w:r>
      <w:r w:rsidR="004D6408" w:rsidRPr="00A842B0">
        <w:t>SCPT</w:t>
      </w:r>
      <w:r w:rsidR="00991C46" w:rsidRPr="00A842B0">
        <w:t>)</w:t>
      </w:r>
      <w:r w:rsidRPr="00A842B0">
        <w:t xml:space="preserve"> fue </w:t>
      </w:r>
      <w:r w:rsidR="004D6408" w:rsidRPr="00A842B0">
        <w:t>ganador de</w:t>
      </w:r>
      <w:r w:rsidR="00FD3E24" w:rsidRPr="00A842B0">
        <w:t xml:space="preserve"> </w:t>
      </w:r>
      <w:r w:rsidRPr="00A842B0">
        <w:t>dichas</w:t>
      </w:r>
      <w:r w:rsidR="00FD3E24" w:rsidRPr="00A842B0">
        <w:t xml:space="preserve"> elecciones con el 42.4%.</w:t>
      </w:r>
    </w:p>
    <w:p w:rsidR="00FD3E24" w:rsidRPr="00A842B0" w:rsidRDefault="003D029F" w:rsidP="006C4559">
      <w:pPr>
        <w:jc w:val="both"/>
      </w:pPr>
      <w:r w:rsidRPr="00A842B0">
        <w:t>En base a lo anteriormente citado, el s</w:t>
      </w:r>
      <w:r w:rsidR="00FD3E24" w:rsidRPr="00A842B0">
        <w:t xml:space="preserve">eguimiento se realizara </w:t>
      </w:r>
      <w:r w:rsidRPr="00A842B0">
        <w:t xml:space="preserve">sobre la información de oferta electoral, planificación, y presupuestos </w:t>
      </w:r>
      <w:r w:rsidR="00860AAB" w:rsidRPr="00A842B0">
        <w:t>correspondientes a las</w:t>
      </w:r>
      <w:r w:rsidRPr="00A842B0">
        <w:t xml:space="preserve"> gestiones </w:t>
      </w:r>
      <w:r w:rsidR="00FD3E24" w:rsidRPr="00A842B0">
        <w:t>2016</w:t>
      </w:r>
      <w:r w:rsidRPr="00A842B0">
        <w:t xml:space="preserve"> y</w:t>
      </w:r>
      <w:r w:rsidR="00FD3E24" w:rsidRPr="00A842B0">
        <w:t xml:space="preserve"> </w:t>
      </w:r>
      <w:r w:rsidRPr="00A842B0">
        <w:t>2017.</w:t>
      </w:r>
    </w:p>
    <w:p w:rsidR="00AD52E4" w:rsidRPr="00A842B0" w:rsidRDefault="00AD52E4" w:rsidP="001549D7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b/>
          <w:color w:val="auto"/>
        </w:rPr>
      </w:pPr>
      <w:bookmarkStart w:id="1" w:name="_Toc478327990"/>
      <w:r w:rsidRPr="00A842B0">
        <w:rPr>
          <w:rFonts w:asciiTheme="minorHAnsi" w:hAnsiTheme="minorHAnsi"/>
          <w:b/>
          <w:color w:val="auto"/>
        </w:rPr>
        <w:t xml:space="preserve">Oferta </w:t>
      </w:r>
      <w:r w:rsidR="00483FB9" w:rsidRPr="00A842B0">
        <w:rPr>
          <w:rFonts w:asciiTheme="minorHAnsi" w:hAnsiTheme="minorHAnsi"/>
          <w:b/>
          <w:color w:val="auto"/>
        </w:rPr>
        <w:t>electoral</w:t>
      </w:r>
      <w:bookmarkEnd w:id="1"/>
    </w:p>
    <w:p w:rsidR="00D42C37" w:rsidRPr="00A842B0" w:rsidRDefault="00A560E0" w:rsidP="006C4559">
      <w:pPr>
        <w:jc w:val="both"/>
      </w:pPr>
      <w:r w:rsidRPr="00A842B0">
        <w:t xml:space="preserve">Respecto a la Oferta Electoral del alcalde ganador, el </w:t>
      </w:r>
      <w:r w:rsidR="00CD501D" w:rsidRPr="00A842B0">
        <w:t>Programa de gobierno municipal 2</w:t>
      </w:r>
      <w:r w:rsidR="00483FB9" w:rsidRPr="00A842B0">
        <w:t>0</w:t>
      </w:r>
      <w:r w:rsidR="00CD501D" w:rsidRPr="00A842B0">
        <w:t xml:space="preserve">15-2020 “Vamos por lo que falta hacer” </w:t>
      </w:r>
      <w:r w:rsidRPr="00A842B0">
        <w:t xml:space="preserve"> cuenta con las siguientes propuestas:</w:t>
      </w:r>
    </w:p>
    <w:p w:rsidR="00CD501D" w:rsidRPr="00A842B0" w:rsidRDefault="00CD501D" w:rsidP="006C4559">
      <w:pPr>
        <w:jc w:val="both"/>
        <w:rPr>
          <w:b/>
        </w:rPr>
      </w:pPr>
      <w:r w:rsidRPr="00A842B0">
        <w:rPr>
          <w:b/>
        </w:rPr>
        <w:t>INTEGRACI</w:t>
      </w:r>
      <w:r w:rsidR="00ED3044">
        <w:rPr>
          <w:b/>
        </w:rPr>
        <w:t>Ó</w:t>
      </w:r>
      <w:r w:rsidRPr="00A842B0">
        <w:rPr>
          <w:b/>
        </w:rPr>
        <w:t xml:space="preserve">N SOCIAL Y SEGURIDAD </w:t>
      </w:r>
    </w:p>
    <w:p w:rsidR="007A5E40" w:rsidRPr="00A842B0" w:rsidRDefault="00997FB1" w:rsidP="006C4559">
      <w:pPr>
        <w:pStyle w:val="Prrafodelista"/>
        <w:numPr>
          <w:ilvl w:val="1"/>
          <w:numId w:val="1"/>
        </w:numPr>
        <w:jc w:val="both"/>
      </w:pPr>
      <w:r w:rsidRPr="00A842B0">
        <w:t>Crear el Plan de Prevención y Seguridad Municipal, con guardias de alto nivel de formación interdisciplinaria, capacitados para asistir a las personas en condición de usuarias de los espacios públicos, munidos con equipos de comunicación interrelacionados con una oficina de coordinación interinstitucional de acción municipal, la Fiscalía y la Policía Nacional.</w:t>
      </w:r>
    </w:p>
    <w:p w:rsidR="00471310" w:rsidRPr="00A842B0" w:rsidRDefault="00471310" w:rsidP="006C4559">
      <w:pPr>
        <w:pStyle w:val="Prrafodelista"/>
        <w:numPr>
          <w:ilvl w:val="1"/>
          <w:numId w:val="1"/>
        </w:numPr>
        <w:jc w:val="both"/>
      </w:pPr>
      <w:r w:rsidRPr="00A842B0">
        <w:t>Instituir el Programa Municipal de alerta vecinal en cada distrito.</w:t>
      </w:r>
    </w:p>
    <w:p w:rsidR="00471310" w:rsidRPr="00A842B0" w:rsidRDefault="00471310" w:rsidP="006C4559">
      <w:pPr>
        <w:pStyle w:val="Prrafodelista"/>
        <w:numPr>
          <w:ilvl w:val="1"/>
          <w:numId w:val="1"/>
        </w:numPr>
        <w:jc w:val="both"/>
      </w:pPr>
      <w:r w:rsidRPr="00A842B0">
        <w:t>Proponer en consulta popular o ciudadana el Pla de Transporte Publico para el municipio de Santa Cruz de la Sierra.</w:t>
      </w:r>
    </w:p>
    <w:p w:rsidR="00471310" w:rsidRPr="00A842B0" w:rsidRDefault="00471310" w:rsidP="006C4559">
      <w:pPr>
        <w:pStyle w:val="Prrafodelista"/>
        <w:numPr>
          <w:ilvl w:val="1"/>
          <w:numId w:val="1"/>
        </w:numPr>
        <w:jc w:val="both"/>
      </w:pPr>
      <w:r w:rsidRPr="00A842B0">
        <w:lastRenderedPageBreak/>
        <w:t xml:space="preserve">Consolidar la Red de </w:t>
      </w:r>
      <w:r w:rsidR="005D3798" w:rsidRPr="00A842B0">
        <w:t>Atención en</w:t>
      </w:r>
      <w:r w:rsidRPr="00A842B0">
        <w:t xml:space="preserve"> Salud con la construcción de otros 20 centros de salud con atención de 12 horas y 10 centros de salud de 24 horas.</w:t>
      </w:r>
    </w:p>
    <w:p w:rsidR="00471310" w:rsidRPr="00A842B0" w:rsidRDefault="00671178" w:rsidP="006C4559">
      <w:pPr>
        <w:pStyle w:val="Prrafodelista"/>
        <w:numPr>
          <w:ilvl w:val="1"/>
          <w:numId w:val="1"/>
        </w:numPr>
        <w:jc w:val="both"/>
      </w:pPr>
      <w:r w:rsidRPr="00A842B0">
        <w:t>Completar el Sistema Municipal de Educación</w:t>
      </w:r>
      <w:r w:rsidR="00860AAB" w:rsidRPr="00A842B0">
        <w:t xml:space="preserve"> Pública</w:t>
      </w:r>
      <w:r w:rsidRPr="00A842B0">
        <w:t>, desayuno Escolar, Control Nutricional.</w:t>
      </w:r>
    </w:p>
    <w:p w:rsidR="00671178" w:rsidRPr="00A842B0" w:rsidRDefault="00E82480" w:rsidP="006C4559">
      <w:pPr>
        <w:pStyle w:val="Prrafodelista"/>
        <w:numPr>
          <w:ilvl w:val="1"/>
          <w:numId w:val="1"/>
        </w:numPr>
        <w:jc w:val="both"/>
      </w:pPr>
      <w:r w:rsidRPr="00A842B0">
        <w:t>Continuar y mejorar el Plan de Pavimentación.</w:t>
      </w:r>
    </w:p>
    <w:p w:rsidR="00E82480" w:rsidRPr="00A842B0" w:rsidRDefault="00E82480" w:rsidP="006C4559">
      <w:pPr>
        <w:pStyle w:val="Prrafodelista"/>
        <w:numPr>
          <w:ilvl w:val="1"/>
          <w:numId w:val="1"/>
        </w:numPr>
        <w:jc w:val="both"/>
      </w:pPr>
      <w:r w:rsidRPr="00A842B0">
        <w:t>Continuar y mejorar el Plan de Drenaje Pluvial.</w:t>
      </w:r>
    </w:p>
    <w:p w:rsidR="00E82480" w:rsidRPr="00A842B0" w:rsidRDefault="00E82480" w:rsidP="006C4559">
      <w:pPr>
        <w:pStyle w:val="Prrafodelista"/>
        <w:numPr>
          <w:ilvl w:val="1"/>
          <w:numId w:val="1"/>
        </w:numPr>
        <w:jc w:val="both"/>
      </w:pPr>
      <w:r w:rsidRPr="00A842B0">
        <w:t>Continuar impulsando la cultura en los barrios con la construcción y el funcionamiento de 10 nuevas bibliotecas municipales con talleres permanentes de actividades extracurriculares para escolares además de la construcción del Gran Teatro Municipal para 2500 personas</w:t>
      </w:r>
      <w:r w:rsidR="006A4C08" w:rsidRPr="00A842B0">
        <w:t>.</w:t>
      </w:r>
    </w:p>
    <w:p w:rsidR="006A4C08" w:rsidRPr="00A842B0" w:rsidRDefault="006A4C08" w:rsidP="006C4559">
      <w:pPr>
        <w:pStyle w:val="Prrafodelista"/>
        <w:numPr>
          <w:ilvl w:val="1"/>
          <w:numId w:val="1"/>
        </w:numPr>
        <w:jc w:val="both"/>
      </w:pPr>
      <w:r w:rsidRPr="00A842B0">
        <w:t xml:space="preserve">Continuar promoviendo el deporte en todos los barrios con nuevos coliseos distritales, 200 canchas de fútbol y 300 canchas </w:t>
      </w:r>
      <w:proofErr w:type="spellStart"/>
      <w:r w:rsidRPr="00A842B0">
        <w:t>polifuncionales</w:t>
      </w:r>
      <w:proofErr w:type="spellEnd"/>
      <w:r w:rsidRPr="00A842B0">
        <w:t xml:space="preserve"> iluminadas, así como apoyando las actividades deportivas públicas que fortalezcan el sello de Santa Cruz de la Sierra, ciudad saludable.</w:t>
      </w:r>
    </w:p>
    <w:p w:rsidR="00B02B43" w:rsidRPr="00A842B0" w:rsidRDefault="006A4C08" w:rsidP="006C4559">
      <w:pPr>
        <w:pStyle w:val="Prrafodelista"/>
        <w:numPr>
          <w:ilvl w:val="1"/>
          <w:numId w:val="1"/>
        </w:numPr>
        <w:jc w:val="both"/>
      </w:pPr>
      <w:r w:rsidRPr="00A842B0">
        <w:t>Continuar con la recuperación de áreas verdes y la construcción de 40nuevos parques protegidos que se sumarán a los 54 parques existentes</w:t>
      </w:r>
      <w:r w:rsidR="00F459A2" w:rsidRPr="00A842B0">
        <w:t xml:space="preserve"> </w:t>
      </w:r>
      <w:r w:rsidRPr="00A842B0">
        <w:t>avanzando en las 1.200 hectáreas de áreas verdes recuperadas</w:t>
      </w:r>
    </w:p>
    <w:p w:rsidR="00B02B43" w:rsidRPr="00A842B0" w:rsidRDefault="00B02B43" w:rsidP="006C4559">
      <w:pPr>
        <w:pStyle w:val="Prrafodelista"/>
        <w:numPr>
          <w:ilvl w:val="1"/>
          <w:numId w:val="1"/>
        </w:numPr>
        <w:jc w:val="both"/>
      </w:pPr>
      <w:r w:rsidRPr="00A842B0">
        <w:t xml:space="preserve">Garantizar el acceso equitativo a los bienes públicos urbanos: conectividad, movilidad y acceso a medios de transporte, áreas verdes, equipamiento urbano de seguridad, telecomunicaciones, deporte, cultura, educación y salud. </w:t>
      </w:r>
    </w:p>
    <w:p w:rsidR="00B02B43" w:rsidRPr="00A842B0" w:rsidRDefault="00B02B43" w:rsidP="006C4559">
      <w:pPr>
        <w:pStyle w:val="Prrafodelista"/>
        <w:numPr>
          <w:ilvl w:val="1"/>
          <w:numId w:val="1"/>
        </w:numPr>
        <w:jc w:val="both"/>
      </w:pPr>
      <w:r w:rsidRPr="00A842B0">
        <w:t>Continuar con nuestros programas de información permanente a la población, enfatizando en el uso, mantenimiento y apropiación adecuada delos espacios y los servicios públicos</w:t>
      </w:r>
    </w:p>
    <w:p w:rsidR="00A445BD" w:rsidRPr="00A842B0" w:rsidRDefault="00CD501D" w:rsidP="006C4559">
      <w:pPr>
        <w:jc w:val="both"/>
        <w:rPr>
          <w:b/>
        </w:rPr>
      </w:pPr>
      <w:r w:rsidRPr="00A842B0">
        <w:rPr>
          <w:b/>
        </w:rPr>
        <w:t>DESARROLLO ECON</w:t>
      </w:r>
      <w:r w:rsidR="00ED3044">
        <w:rPr>
          <w:b/>
        </w:rPr>
        <w:t>Ó</w:t>
      </w:r>
      <w:r w:rsidRPr="00A842B0">
        <w:rPr>
          <w:b/>
        </w:rPr>
        <w:t>MICO</w:t>
      </w:r>
    </w:p>
    <w:p w:rsidR="00CD501D" w:rsidRPr="00A842B0" w:rsidRDefault="00170CC6" w:rsidP="006C4559">
      <w:pPr>
        <w:pStyle w:val="Prrafodelista"/>
        <w:numPr>
          <w:ilvl w:val="1"/>
          <w:numId w:val="10"/>
        </w:numPr>
        <w:jc w:val="both"/>
      </w:pPr>
      <w:r w:rsidRPr="00A842B0">
        <w:t>Generar condiciones urbanas que fomenten el desarrollo económico, mediante atractivos para atraer inversiones.</w:t>
      </w:r>
    </w:p>
    <w:p w:rsidR="00170CC6" w:rsidRPr="00A842B0" w:rsidRDefault="004252BA" w:rsidP="006C4559">
      <w:pPr>
        <w:pStyle w:val="Prrafodelista"/>
        <w:numPr>
          <w:ilvl w:val="1"/>
          <w:numId w:val="10"/>
        </w:numPr>
        <w:jc w:val="both"/>
      </w:pPr>
      <w:r w:rsidRPr="00A842B0">
        <w:t>Adecuar la disponibilidad de sueldos, uso adecuado de la densificación y mejor aprovechamiento.</w:t>
      </w:r>
    </w:p>
    <w:p w:rsidR="004252BA" w:rsidRPr="00A842B0" w:rsidRDefault="004252BA" w:rsidP="006C4559">
      <w:pPr>
        <w:pStyle w:val="Prrafodelista"/>
        <w:numPr>
          <w:ilvl w:val="1"/>
          <w:numId w:val="10"/>
        </w:numPr>
        <w:jc w:val="both"/>
      </w:pPr>
      <w:r w:rsidRPr="00A842B0">
        <w:t>Fomentar la complementariedad entre los ejes funcionales.</w:t>
      </w:r>
    </w:p>
    <w:p w:rsidR="004252BA" w:rsidRPr="00A842B0" w:rsidRDefault="004252BA" w:rsidP="006C4559">
      <w:pPr>
        <w:pStyle w:val="Prrafodelista"/>
        <w:numPr>
          <w:ilvl w:val="1"/>
          <w:numId w:val="10"/>
        </w:numPr>
        <w:jc w:val="both"/>
      </w:pPr>
      <w:r w:rsidRPr="00A842B0">
        <w:t>Integrar la planificación urbana con los proyectos de inversión.</w:t>
      </w:r>
    </w:p>
    <w:p w:rsidR="004252BA" w:rsidRPr="00A842B0" w:rsidRDefault="004252BA" w:rsidP="006C4559">
      <w:pPr>
        <w:pStyle w:val="Prrafodelista"/>
        <w:numPr>
          <w:ilvl w:val="1"/>
          <w:numId w:val="10"/>
        </w:numPr>
        <w:jc w:val="both"/>
      </w:pPr>
      <w:r w:rsidRPr="00A842B0">
        <w:t>Crear incentivos para la inversión privada en áreas deprimidas o rezagada.</w:t>
      </w:r>
    </w:p>
    <w:p w:rsidR="004252BA" w:rsidRPr="00A842B0" w:rsidRDefault="00D17895" w:rsidP="006C4559">
      <w:pPr>
        <w:pStyle w:val="Prrafodelista"/>
        <w:numPr>
          <w:ilvl w:val="1"/>
          <w:numId w:val="10"/>
        </w:numPr>
        <w:jc w:val="both"/>
      </w:pPr>
      <w:r w:rsidRPr="00A842B0">
        <w:t>Considerar los efectos sociales de los proyectos públicos y privados.</w:t>
      </w:r>
    </w:p>
    <w:p w:rsidR="00D17895" w:rsidRPr="00A842B0" w:rsidRDefault="00D17895" w:rsidP="006C4559">
      <w:pPr>
        <w:pStyle w:val="Prrafodelista"/>
        <w:numPr>
          <w:ilvl w:val="1"/>
          <w:numId w:val="10"/>
        </w:numPr>
        <w:jc w:val="both"/>
      </w:pPr>
      <w:r w:rsidRPr="00A842B0">
        <w:t>Normar las responsabilidades de los proyectos que generan externalidades negativas.</w:t>
      </w:r>
    </w:p>
    <w:p w:rsidR="00D17895" w:rsidRPr="00A842B0" w:rsidRDefault="00D17895" w:rsidP="006C4559">
      <w:pPr>
        <w:pStyle w:val="Prrafodelista"/>
        <w:numPr>
          <w:ilvl w:val="1"/>
          <w:numId w:val="10"/>
        </w:numPr>
        <w:jc w:val="both"/>
      </w:pPr>
      <w:r w:rsidRPr="00A842B0">
        <w:t xml:space="preserve">Perfeccionar las herramientas tributarias aplicables a los terrenos de engorde o </w:t>
      </w:r>
      <w:r w:rsidR="00515867" w:rsidRPr="00A842B0">
        <w:t>subutilizados</w:t>
      </w:r>
      <w:r w:rsidRPr="00A842B0">
        <w:t>.</w:t>
      </w:r>
    </w:p>
    <w:p w:rsidR="00D17895" w:rsidRPr="00A842B0" w:rsidRDefault="00D17895" w:rsidP="006C4559">
      <w:pPr>
        <w:pStyle w:val="Prrafodelista"/>
        <w:numPr>
          <w:ilvl w:val="1"/>
          <w:numId w:val="10"/>
        </w:numPr>
        <w:jc w:val="both"/>
      </w:pPr>
      <w:r w:rsidRPr="00A842B0">
        <w:t>Promover sistemas de integración regional en materias de transporte entre centros poblados para crear la infraestructura interurbana.</w:t>
      </w:r>
    </w:p>
    <w:p w:rsidR="00D17895" w:rsidRDefault="00D17895" w:rsidP="006C4559">
      <w:pPr>
        <w:pStyle w:val="Prrafodelista"/>
        <w:numPr>
          <w:ilvl w:val="1"/>
          <w:numId w:val="10"/>
        </w:numPr>
        <w:jc w:val="both"/>
      </w:pPr>
      <w:r w:rsidRPr="00A842B0">
        <w:t>Establecer un Fondo de Inversión de Pymes y Pequeños Proyectos ,destinado a emprendimientos liderados por jóvenes, mujeres jefas de hogar y personas con habilidades diferenciadas</w:t>
      </w:r>
    </w:p>
    <w:p w:rsidR="008F42DD" w:rsidRPr="00A842B0" w:rsidRDefault="00CD501D" w:rsidP="006C4559">
      <w:pPr>
        <w:jc w:val="both"/>
        <w:rPr>
          <w:b/>
        </w:rPr>
      </w:pPr>
      <w:r w:rsidRPr="00A842B0">
        <w:rPr>
          <w:b/>
        </w:rPr>
        <w:t>EQUILIBRIO AMBIENTAL</w:t>
      </w:r>
      <w:r w:rsidR="008F42DD" w:rsidRPr="00A842B0">
        <w:rPr>
          <w:b/>
        </w:rPr>
        <w:t xml:space="preserve"> </w:t>
      </w:r>
    </w:p>
    <w:p w:rsidR="009E0EE9" w:rsidRPr="00A842B0" w:rsidRDefault="009E0EE9" w:rsidP="006C4559">
      <w:pPr>
        <w:pStyle w:val="Prrafodelista"/>
        <w:numPr>
          <w:ilvl w:val="1"/>
          <w:numId w:val="9"/>
        </w:numPr>
        <w:jc w:val="both"/>
      </w:pPr>
      <w:r w:rsidRPr="00A842B0">
        <w:t>Fomentar normas que obliguen a los instrumentos de planificación territorial.</w:t>
      </w:r>
    </w:p>
    <w:p w:rsidR="009E0EE9" w:rsidRPr="00A842B0" w:rsidRDefault="009E0EE9" w:rsidP="006C4559">
      <w:pPr>
        <w:pStyle w:val="Prrafodelista"/>
        <w:numPr>
          <w:ilvl w:val="1"/>
          <w:numId w:val="9"/>
        </w:numPr>
        <w:jc w:val="both"/>
      </w:pPr>
      <w:r w:rsidRPr="00A842B0">
        <w:t>Exigir que los nuevos proyectos no generen condiciones de erosión o degradación.</w:t>
      </w:r>
    </w:p>
    <w:p w:rsidR="005C0A0A" w:rsidRPr="00A842B0" w:rsidRDefault="009E0EE9" w:rsidP="006C4559">
      <w:pPr>
        <w:pStyle w:val="Prrafodelista"/>
        <w:numPr>
          <w:ilvl w:val="1"/>
          <w:numId w:val="9"/>
        </w:numPr>
        <w:jc w:val="both"/>
      </w:pPr>
      <w:r w:rsidRPr="00A842B0">
        <w:lastRenderedPageBreak/>
        <w:t>Integrar en los planes el concepto de reducción de riesgos de desastres, con planes de monitoreo.</w:t>
      </w:r>
    </w:p>
    <w:p w:rsidR="005C0A0A" w:rsidRPr="00A842B0" w:rsidRDefault="005C0A0A" w:rsidP="006C4559">
      <w:pPr>
        <w:pStyle w:val="Prrafodelista"/>
        <w:numPr>
          <w:ilvl w:val="1"/>
          <w:numId w:val="9"/>
        </w:numPr>
        <w:jc w:val="both"/>
      </w:pPr>
      <w:r w:rsidRPr="00A842B0">
        <w:t>Fomentar e desarrollar estrategias de sustentabilidad e iniciativas de consumo eficiente de energía y agua; así como encarar acciones efectivas para el uso de energías alternativas y nuevas fuentes que garanticen su</w:t>
      </w:r>
      <w:r w:rsidR="00356258" w:rsidRPr="00A842B0">
        <w:t xml:space="preserve"> </w:t>
      </w:r>
      <w:r w:rsidRPr="00A842B0">
        <w:t xml:space="preserve">abastecimiento, además el acceso a las mismas para todos hoy y a futuro </w:t>
      </w:r>
      <w:r w:rsidR="008F42DD" w:rsidRPr="00A842B0">
        <w:t>IDENTIDAD Y PATRIMONIO</w:t>
      </w:r>
      <w:r w:rsidRPr="00A842B0">
        <w:t xml:space="preserve">. </w:t>
      </w:r>
    </w:p>
    <w:p w:rsidR="00356258" w:rsidRPr="00A842B0" w:rsidRDefault="005C0A0A" w:rsidP="006C4559">
      <w:pPr>
        <w:pStyle w:val="Prrafodelista"/>
        <w:numPr>
          <w:ilvl w:val="1"/>
          <w:numId w:val="9"/>
        </w:numPr>
        <w:jc w:val="both"/>
      </w:pPr>
      <w:r w:rsidRPr="00A842B0">
        <w:t>Medir y monitorear variables ambientales urbanas, definiendo metas específicas de eficiencia: emisión de gases de efecto invernadero, gestión de residuos, contaminación acústica, visual, lumínica, olores, etc. Establecer incentivos para su cumplimiento</w:t>
      </w:r>
      <w:r w:rsidR="00356258" w:rsidRPr="00A842B0">
        <w:t>.</w:t>
      </w:r>
    </w:p>
    <w:p w:rsidR="008F42DD" w:rsidRPr="00A842B0" w:rsidRDefault="00356258" w:rsidP="006C4559">
      <w:pPr>
        <w:pStyle w:val="Prrafodelista"/>
        <w:numPr>
          <w:ilvl w:val="1"/>
          <w:numId w:val="9"/>
        </w:numPr>
        <w:jc w:val="both"/>
      </w:pPr>
      <w:r w:rsidRPr="00A842B0">
        <w:t>Fomentar el uso sustentable del suelo, reutilizando y densificando áreas urbanas al interior de la ciudad, y facilitar el desarrollo de áreas sin uso.</w:t>
      </w:r>
    </w:p>
    <w:p w:rsidR="00356258" w:rsidRPr="00A842B0" w:rsidRDefault="00356258" w:rsidP="006C4559">
      <w:pPr>
        <w:pStyle w:val="Prrafodelista"/>
        <w:numPr>
          <w:ilvl w:val="1"/>
          <w:numId w:val="9"/>
        </w:numPr>
        <w:jc w:val="both"/>
      </w:pPr>
      <w:r w:rsidRPr="00A842B0">
        <w:t>Propiciar la creación de zonas urbanas de tráfico reducido y fomentar su uso para otros aspectos funcionales (paseo, vías peatonales, así como incorporar sistemas de transporte de bajo impacto.).</w:t>
      </w:r>
    </w:p>
    <w:p w:rsidR="00356258" w:rsidRPr="00A842B0" w:rsidRDefault="00C06D9E" w:rsidP="006C4559">
      <w:pPr>
        <w:pStyle w:val="Prrafodelista"/>
        <w:numPr>
          <w:ilvl w:val="1"/>
          <w:numId w:val="9"/>
        </w:numPr>
        <w:jc w:val="both"/>
      </w:pPr>
      <w:r w:rsidRPr="00A842B0">
        <w:t>Promover la educación ciudadana en disminución de la generación de residuos, a la par de la puesta en funcionamiento de las plantas de separación de residuos sólidos, trituradora de llantas, vegetal y escombros, reduciendo ostensiblemente la práctica de entierro de basura y fomentándola economía de la reutilización, reducción y reciclaje.</w:t>
      </w:r>
    </w:p>
    <w:p w:rsidR="008F42DD" w:rsidRPr="00A842B0" w:rsidRDefault="008F42DD" w:rsidP="006C4559">
      <w:pPr>
        <w:jc w:val="both"/>
      </w:pPr>
      <w:r w:rsidRPr="00A842B0">
        <w:t xml:space="preserve">Para mantener políticas coherentes de identidad y patrimonio se deben: </w:t>
      </w:r>
    </w:p>
    <w:p w:rsidR="008F42DD" w:rsidRPr="00A842B0" w:rsidRDefault="008F42DD" w:rsidP="006C4559">
      <w:pPr>
        <w:pStyle w:val="Prrafodelista"/>
        <w:numPr>
          <w:ilvl w:val="1"/>
          <w:numId w:val="8"/>
        </w:numPr>
        <w:jc w:val="both"/>
      </w:pPr>
      <w:r w:rsidRPr="00A842B0">
        <w:t xml:space="preserve">Valorar la dimensión del entorno, como parte de la educación, en particular de la </w:t>
      </w:r>
      <w:r w:rsidR="00CF045B" w:rsidRPr="00A842B0">
        <w:t>cultura,</w:t>
      </w:r>
      <w:r w:rsidRPr="00A842B0">
        <w:t xml:space="preserve"> la historia; </w:t>
      </w:r>
      <w:r w:rsidR="00CF045B" w:rsidRPr="00A842B0">
        <w:t>preservar el valor del patrimonio de los paisajes.</w:t>
      </w:r>
    </w:p>
    <w:p w:rsidR="00CF045B" w:rsidRPr="00A842B0" w:rsidRDefault="00CF045B" w:rsidP="006C4559">
      <w:pPr>
        <w:pStyle w:val="Prrafodelista"/>
        <w:numPr>
          <w:ilvl w:val="1"/>
          <w:numId w:val="8"/>
        </w:numPr>
        <w:jc w:val="both"/>
      </w:pPr>
      <w:r w:rsidRPr="00A842B0">
        <w:t xml:space="preserve">Conocer y valorar y proteger el patrimonio cultural. Actualizar el registro del patrimonio cultural. </w:t>
      </w:r>
      <w:r w:rsidR="00D21729" w:rsidRPr="00A842B0">
        <w:t>Establecer metodologías de valoraciones del patrimonio cultural.</w:t>
      </w:r>
    </w:p>
    <w:p w:rsidR="00CD501D" w:rsidRPr="00A842B0" w:rsidRDefault="008F42DD" w:rsidP="006C4559">
      <w:pPr>
        <w:jc w:val="both"/>
        <w:rPr>
          <w:b/>
        </w:rPr>
      </w:pPr>
      <w:r w:rsidRPr="00A842B0">
        <w:rPr>
          <w:b/>
        </w:rPr>
        <w:t>INSTITUCIONALIDAD Y GOBERNANZA</w:t>
      </w:r>
    </w:p>
    <w:p w:rsidR="00CD501D" w:rsidRPr="00A842B0" w:rsidRDefault="008F42DD" w:rsidP="006C4559">
      <w:pPr>
        <w:jc w:val="both"/>
      </w:pPr>
      <w:r w:rsidRPr="00A842B0">
        <w:t xml:space="preserve">Dotar a diversas entidades de elementos de desconcentración, no sólo las referidas a las construcciones y sus usos, sino también al sistema de transporte, infraestructura, redes de servicios e instalaciones, manejo integrado de residuos, gestión de tributos asociados a obras o actividades locales. </w:t>
      </w:r>
    </w:p>
    <w:p w:rsidR="00AD52E4" w:rsidRPr="00A842B0" w:rsidRDefault="00AD52E4" w:rsidP="00CE6C36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b/>
          <w:color w:val="auto"/>
        </w:rPr>
      </w:pPr>
      <w:bookmarkStart w:id="2" w:name="_Toc478327991"/>
      <w:r w:rsidRPr="00A842B0">
        <w:rPr>
          <w:rFonts w:asciiTheme="minorHAnsi" w:hAnsiTheme="minorHAnsi"/>
          <w:b/>
          <w:color w:val="auto"/>
        </w:rPr>
        <w:t>Priorización</w:t>
      </w:r>
      <w:bookmarkEnd w:id="2"/>
      <w:r w:rsidRPr="00A842B0">
        <w:rPr>
          <w:rFonts w:asciiTheme="minorHAnsi" w:hAnsiTheme="minorHAnsi"/>
          <w:b/>
          <w:color w:val="auto"/>
        </w:rPr>
        <w:t xml:space="preserve"> </w:t>
      </w:r>
    </w:p>
    <w:p w:rsidR="00CE28A5" w:rsidRPr="00A842B0" w:rsidRDefault="00CE6C36" w:rsidP="006C4559">
      <w:pPr>
        <w:jc w:val="both"/>
      </w:pPr>
      <w:r w:rsidRPr="00A842B0">
        <w:t xml:space="preserve">Para la elaboración del presente trabajo, se priorizará </w:t>
      </w:r>
      <w:r w:rsidR="00CE28A5" w:rsidRPr="00A842B0">
        <w:t xml:space="preserve">los siguientes </w:t>
      </w:r>
      <w:r w:rsidR="00F860B5">
        <w:t>puntos correspondientes a la propuesta de la oferta electoral</w:t>
      </w:r>
      <w:r w:rsidR="00CE28A5" w:rsidRPr="00A842B0">
        <w:t>:</w:t>
      </w:r>
    </w:p>
    <w:p w:rsidR="00CE28A5" w:rsidRPr="00A842B0" w:rsidRDefault="00CE28A5" w:rsidP="00F860B5">
      <w:pPr>
        <w:pStyle w:val="Prrafodelista"/>
        <w:numPr>
          <w:ilvl w:val="0"/>
          <w:numId w:val="12"/>
        </w:numPr>
        <w:jc w:val="both"/>
      </w:pPr>
      <w:r w:rsidRPr="00F860B5">
        <w:rPr>
          <w:rFonts w:cs="Arial"/>
          <w:lang w:val="es-ES"/>
        </w:rPr>
        <w:t>Adecuar la disponibilidad de suelos, uso adecuado de la densificación y mejor aprovechamiento, identificando uso de suelos mixtos, para viviendas (residencias) usos comerciales y de servicios, evitando desplazamientos.</w:t>
      </w:r>
    </w:p>
    <w:p w:rsidR="00CE28A5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Fomentar la complementariedad entre los ejes funcionales (corredores de transporte, autopistas, uso peatonal) e identificando áreas con sistemas no invasivos para crear funciones distintas de tránsito de vehículos motorizados.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 xml:space="preserve">Consolidar la Red de Atención en Salud con la construcción de otros 20 centros de salud con atención de 12 horas y 10 centros de salud de 24 horas, 4 Gerencias Administrativas de las Redes </w:t>
      </w:r>
      <w:proofErr w:type="spellStart"/>
      <w:r w:rsidRPr="00A842B0">
        <w:t>Multidistritales</w:t>
      </w:r>
      <w:proofErr w:type="spellEnd"/>
      <w:r w:rsidRPr="00A842B0">
        <w:t>, 1 Centro Terapéutico Recreativo.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lastRenderedPageBreak/>
        <w:t>Crear el Plan de Prevención y Seguridad Municipal, con guardias de alto nivel de formación interdisciplinaria, capacitados para asistir a las personas en condición de usuarias de los espacios públicos, munidos con equipos de comunicación interrelacionados con una oficina de coordinación interinstitucional de acción municipal, la Fiscalía y la Policía Nacional.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 xml:space="preserve">Instituir el Programa Municipal de Alerta Vecinal en cada distrito, encabezado por la SI X </w:t>
      </w:r>
      <w:proofErr w:type="spellStart"/>
      <w:r w:rsidRPr="00A842B0">
        <w:t>X</w:t>
      </w:r>
      <w:proofErr w:type="spellEnd"/>
      <w:r w:rsidRPr="00A842B0">
        <w:t xml:space="preserve"> Sub-Alcaldía a cargo de la atención inmediata y en red de los servicios existentes y que falte completar.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Plan de Transporte Público para el municipio de Santa Cruz de la Sierra a través de una consulta popular.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Continuar y mejorar el Plan de Pavimentación, con la licitación conjunta de vías con aceras y pasos peatonales.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Continuar y mejorar el Plan de Drenaje Pluvial.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Continuar impulsando la cultura en los barrios con la construcción y el funcionamiento de 10 nuevas bibliotecas municipales con talleres permanentes de actividades extracurriculares para escolares además de la construcción del Gran Teatro Municipal para 2500 personas.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 xml:space="preserve">Continuar promoviendo el deporte en todos los barrios con nuevos coliseos distritales, 200 canchas de fútbol y 300 canchas </w:t>
      </w:r>
      <w:proofErr w:type="spellStart"/>
      <w:r w:rsidRPr="00A842B0">
        <w:t>polifuncionales</w:t>
      </w:r>
      <w:proofErr w:type="spellEnd"/>
      <w:r w:rsidRPr="00A842B0">
        <w:t xml:space="preserve"> iluminadas.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Continuar con la recuperación de áreas verdes y la construcción de 40 nuevos parques protegidos que se sumarán a los 54 parques existentes avanzando en las 1.200 hectáreas de áreas verdes recuperadas.</w:t>
      </w:r>
    </w:p>
    <w:p w:rsidR="0009791B" w:rsidRPr="00A842B0" w:rsidRDefault="0009791B" w:rsidP="00F860B5">
      <w:pPr>
        <w:pStyle w:val="Prrafodelista"/>
        <w:numPr>
          <w:ilvl w:val="0"/>
          <w:numId w:val="12"/>
        </w:numPr>
        <w:jc w:val="both"/>
      </w:pPr>
      <w:r w:rsidRPr="00A842B0">
        <w:t>Fortalecer las Sub-Alcaldías, de manera que en ellas juntas vecinales, organizaciones sociales, vecinos y vecinas</w:t>
      </w:r>
    </w:p>
    <w:p w:rsidR="00CE28A5" w:rsidRPr="00A842B0" w:rsidRDefault="00CE28A5" w:rsidP="00CE28A5"/>
    <w:p w:rsidR="00E84E58" w:rsidRPr="00A842B0" w:rsidRDefault="00E84E58">
      <w:pPr>
        <w:rPr>
          <w:rFonts w:eastAsiaTheme="majorEastAsia" w:cstheme="majorBidi"/>
          <w:sz w:val="32"/>
          <w:szCs w:val="32"/>
        </w:rPr>
      </w:pPr>
    </w:p>
    <w:p w:rsidR="00CE28A5" w:rsidRPr="00A842B0" w:rsidRDefault="00CE28A5"/>
    <w:p w:rsidR="00CE28A5" w:rsidRPr="00A842B0" w:rsidRDefault="00CE28A5" w:rsidP="00CE28A5">
      <w:pPr>
        <w:tabs>
          <w:tab w:val="left" w:pos="2086"/>
        </w:tabs>
      </w:pPr>
      <w:r w:rsidRPr="00A842B0">
        <w:tab/>
      </w:r>
    </w:p>
    <w:p w:rsidR="004738B8" w:rsidRPr="00A842B0" w:rsidRDefault="00CE28A5" w:rsidP="00CE28A5">
      <w:pPr>
        <w:tabs>
          <w:tab w:val="left" w:pos="2086"/>
        </w:tabs>
        <w:sectPr w:rsidR="004738B8" w:rsidRPr="00A842B0" w:rsidSect="006E381D">
          <w:footerReference w:type="default" r:id="rId9"/>
          <w:pgSz w:w="12240" w:h="15840"/>
          <w:pgMar w:top="1417" w:right="1701" w:bottom="1417" w:left="1701" w:header="708" w:footer="708" w:gutter="0"/>
          <w:cols w:space="708"/>
          <w:titlePg/>
          <w:docGrid w:linePitch="360"/>
        </w:sectPr>
      </w:pPr>
      <w:r w:rsidRPr="00A842B0">
        <w:tab/>
      </w:r>
    </w:p>
    <w:p w:rsidR="0060172D" w:rsidRPr="0012171E" w:rsidRDefault="00691EA0" w:rsidP="0012171E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b/>
          <w:color w:val="auto"/>
        </w:rPr>
      </w:pPr>
      <w:bookmarkStart w:id="3" w:name="_Toc478327992"/>
      <w:r w:rsidRPr="0012171E">
        <w:rPr>
          <w:rFonts w:asciiTheme="minorHAnsi" w:hAnsiTheme="minorHAnsi"/>
          <w:b/>
          <w:color w:val="auto"/>
        </w:rPr>
        <w:lastRenderedPageBreak/>
        <w:t>Proyectos y programas</w:t>
      </w:r>
      <w:r w:rsidR="00D43D20" w:rsidRPr="0012171E">
        <w:rPr>
          <w:rFonts w:asciiTheme="minorHAnsi" w:hAnsiTheme="minorHAnsi"/>
          <w:b/>
          <w:color w:val="auto"/>
        </w:rPr>
        <w:t xml:space="preserve"> 2017</w:t>
      </w:r>
      <w:bookmarkEnd w:id="3"/>
    </w:p>
    <w:tbl>
      <w:tblPr>
        <w:tblW w:w="131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2410"/>
        <w:gridCol w:w="992"/>
        <w:gridCol w:w="850"/>
        <w:gridCol w:w="3402"/>
        <w:gridCol w:w="1276"/>
      </w:tblGrid>
      <w:tr w:rsidR="00432168" w:rsidTr="00432168">
        <w:trPr>
          <w:trHeight w:val="92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3D8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3216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Propuesta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3D8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3216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POA  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3D8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3216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Monto Programado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3D8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3216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Monto Ejecutado %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3D8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3216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POA 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3D8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3216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Monto Programado</w:t>
            </w:r>
          </w:p>
        </w:tc>
      </w:tr>
      <w:tr w:rsidR="00432168" w:rsidTr="00432168">
        <w:trPr>
          <w:trHeight w:val="126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Adecuar la disponibilidad de suelos, uso adecuado de la densificación y mejor aprovechamiento, identificando uso de suelos mixtos, para viviendas (residencias) usos comerciales y de servicios, evitando desplazamientos.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Diagnóstico del Municipio de Santa Cruz para la actualización del POUT (Plan de Ordenamiento Urbano y Territorial).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41M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32168" w:rsidTr="00432168">
        <w:trPr>
          <w:trHeight w:val="103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Fomentar la complementariedad entre los ejes funcionales (corredores de transporte, autopistas, uso peatonal) e identificando áreas con sistemas no invasivos para crear funciones distintas de tránsito de vehículos motorizados.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32168" w:rsidTr="00432168">
        <w:trPr>
          <w:trHeight w:val="133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Consolidar la Red de Atención en Salud con la construcción de otros 20 centros de salud con atención de 12 horas y 10 centros de salud de 24 horas, 4 Gerencias Administrativas de las Redes </w:t>
            </w:r>
            <w:proofErr w:type="spellStart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Multidistritales</w:t>
            </w:r>
            <w:proofErr w:type="spellEnd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, 1 Centro Terapéutico Recreativo.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Realizar consultas médicas al total de la población asignada a la red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470M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5 Hospitales de 2do nivel en funcionamiento, 68 centros de salud en funcionamiento </w:t>
            </w:r>
            <w:r w:rsidR="003B7C0F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1</w:t>
            </w: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 cen</w:t>
            </w:r>
            <w:r w:rsidR="003B7C0F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tro</w:t>
            </w: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 de acogida "Ana Medina" en Funcionamiento, 1 Centro Terapéutico para personas con capacidades especiales, 14 hospitales de 1er nivel 24 horas en construcción</w:t>
            </w:r>
            <w:r w:rsidR="006D5245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642.503.848,00</w:t>
            </w:r>
          </w:p>
        </w:tc>
      </w:tr>
      <w:tr w:rsidR="00432168" w:rsidTr="00432168">
        <w:trPr>
          <w:trHeight w:val="82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Crear el Plan de Prevención y Seguridad Municipal, con guardias de alto nivel de formación interdisciplinaria, capacitados para asistir a las personas en condición de usuarias de los espacios públicos, munidos con equipos de comunicación interrelacionados con una oficina de coordinación interinstitucional de acción municipal, la Fiscalía y la Policía Nacional.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Construir 2 Estaciones Policiales Integrales en los</w:t>
            </w: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br/>
              <w:t>Distritos Nº 7 y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101MM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32168" w:rsidTr="00432168">
        <w:trPr>
          <w:trHeight w:val="82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Instituir el Programa Municipal de Alerta Vecinal en cada distrito, encabezado por la Sub-Alcaldía a cargo de la atención inmediata y en red de los servicios existentes y que falte completar.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250 Módulos educativos, centro de monitoreo y 2.500 cámaras de vigilancia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19.020.235,00</w:t>
            </w:r>
          </w:p>
        </w:tc>
      </w:tr>
      <w:tr w:rsidR="00432168" w:rsidTr="00432168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lastRenderedPageBreak/>
              <w:t>Plan de Transporte Público para el municipio de Santa Cruz de la Sierra a través de una consulta popular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32168" w:rsidTr="00432168">
        <w:trPr>
          <w:trHeight w:val="93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Continuar y mejorar el Plan de Pavimentación, con la licitación conjunta de vías con aceras y pasos peatonales</w:t>
            </w:r>
            <w:r w:rsidR="00930CDD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Pavimentar 150 km de calles y avenidas del municipio de Santa Cruz de la Sierra.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24MM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832A4B" w:rsidP="00832A4B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Mantenimiento</w:t>
            </w:r>
            <w:r w:rsidR="0012171E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 y reparación de vías urbanas con pavimento flexible </w:t>
            </w:r>
            <w:proofErr w:type="spellStart"/>
            <w:r w:rsidR="0012171E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multidistrital</w:t>
            </w:r>
            <w:proofErr w:type="spellEnd"/>
            <w:r w:rsidR="0012171E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. Implantación de equipos pesados p</w:t>
            </w:r>
            <w:r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ara </w:t>
            </w:r>
            <w:r w:rsidR="0012171E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mant</w:t>
            </w:r>
            <w:r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enimiento </w:t>
            </w:r>
            <w:r w:rsidR="0012171E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de vías no pavimentadas</w:t>
            </w:r>
            <w:r w:rsidR="00930CDD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21.501.769,00</w:t>
            </w:r>
          </w:p>
        </w:tc>
      </w:tr>
      <w:tr w:rsidR="00432168" w:rsidTr="00432168">
        <w:trPr>
          <w:trHeight w:val="98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Continuar y mejorar el Plan de Drenaje Pluvial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Construcción de 44,45 km de canales principales o troncales de drenaje pluvial revestidos.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64MM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70%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Proyectos de infraestructura de drenaje pluvial en el marco del Plan Maestro de Drenaje que garantiza la evacuación de aguas de lluvia</w:t>
            </w:r>
            <w:r w:rsidR="00116D86"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3.682.784,00</w:t>
            </w:r>
          </w:p>
        </w:tc>
      </w:tr>
      <w:tr w:rsidR="00432168" w:rsidTr="00432168">
        <w:trPr>
          <w:trHeight w:val="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Continuar impulsando la cultura en los barrios con la construcción y el funcionamiento de 10 nuevas bibliotecas municipales con talleres permanentes de actividades extracurriculares para escolares además de la construcción del Gran Teatro Municipal para 2500 personas.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32168" w:rsidTr="00432168">
        <w:trPr>
          <w:trHeight w:val="106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Continuar promoviendo el deporte en todos los barrios con nuevos coliseos distritales, 200 canchas de fútbol y 300 canchas </w:t>
            </w:r>
            <w:proofErr w:type="spellStart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polifuncionales</w:t>
            </w:r>
            <w:proofErr w:type="spellEnd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 iluminadas.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Construir 2 Mini - Estadios en los Distritos Nº 5 y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18MM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70%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32168" w:rsidTr="00432168">
        <w:trPr>
          <w:trHeight w:val="127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Continuar con la recuperación de áreas verdes y la construcción de 40 nuevos parques protegidos que se sumarán a los 54 parques existentes avanzando en las 1.200 hectáreas de áreas verdes recuperadas.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Construir 44 Plazas en los diferentes Distritos de la Ciudad.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28MM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70%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832A4B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Fort. </w:t>
            </w:r>
            <w:proofErr w:type="spellStart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Op</w:t>
            </w:r>
            <w:proofErr w:type="spellEnd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. Al dpto. De áreas verdes en los </w:t>
            </w:r>
            <w:proofErr w:type="spellStart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dist</w:t>
            </w:r>
            <w:proofErr w:type="spellEnd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. 1 al 12,</w:t>
            </w:r>
            <w:r w:rsidR="00832A4B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 </w:t>
            </w: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palmar del oratorio, </w:t>
            </w:r>
            <w:proofErr w:type="spellStart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paurito</w:t>
            </w:r>
            <w:proofErr w:type="spellEnd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 y montero hoyos. Mantenimiento de riego automático de áreas verdes, consolidación de la infraestructura de parques y plazas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44.905.676,00</w:t>
            </w:r>
          </w:p>
        </w:tc>
      </w:tr>
      <w:tr w:rsidR="00432168" w:rsidTr="00432168">
        <w:trPr>
          <w:trHeight w:val="2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spacing w:after="0" w:line="240" w:lineRule="auto"/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Fortalecer las Sub-Alcaldías, de manera que en ellas juntas vecinales, organizaciones sociales, vecinos y vecinas.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Secretaría fuerte y en beneficio de los distritos municipales.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32MM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</w:pPr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 xml:space="preserve">Apoyo a las </w:t>
            </w:r>
            <w:proofErr w:type="spellStart"/>
            <w:r w:rsidRPr="00432168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subalcaldias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171E" w:rsidRPr="00432168" w:rsidRDefault="0012171E" w:rsidP="0043216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432168">
              <w:rPr>
                <w:rFonts w:ascii="Calibri" w:hAnsi="Calibri"/>
                <w:color w:val="000000"/>
                <w:sz w:val="18"/>
                <w:szCs w:val="18"/>
              </w:rPr>
              <w:t>27.660.218,00</w:t>
            </w:r>
          </w:p>
        </w:tc>
      </w:tr>
    </w:tbl>
    <w:p w:rsidR="00507080" w:rsidRPr="00A842B0" w:rsidRDefault="0012171E" w:rsidP="00646402">
      <w:r w:rsidRPr="00A842B0">
        <w:t xml:space="preserve"> </w:t>
      </w:r>
      <w:r w:rsidR="00507080" w:rsidRPr="00A842B0">
        <w:br w:type="page"/>
      </w:r>
    </w:p>
    <w:p w:rsidR="00973D56" w:rsidRPr="00A842B0" w:rsidRDefault="00691EA0" w:rsidP="00832A4B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color w:val="auto"/>
        </w:rPr>
      </w:pPr>
      <w:bookmarkStart w:id="4" w:name="_Toc478327993"/>
      <w:r w:rsidRPr="00832A4B">
        <w:rPr>
          <w:rFonts w:asciiTheme="minorHAnsi" w:hAnsiTheme="minorHAnsi"/>
          <w:b/>
          <w:color w:val="auto"/>
        </w:rPr>
        <w:lastRenderedPageBreak/>
        <w:t>Cumplimiento de Oferta Electoral</w:t>
      </w:r>
      <w:r w:rsidR="00D43D20" w:rsidRPr="00832A4B">
        <w:rPr>
          <w:rFonts w:asciiTheme="minorHAnsi" w:hAnsiTheme="minorHAnsi"/>
          <w:b/>
          <w:color w:val="auto"/>
        </w:rPr>
        <w:t xml:space="preserve"> 2016 (Diciembre 2016)</w:t>
      </w:r>
      <w:bookmarkEnd w:id="4"/>
    </w:p>
    <w:tbl>
      <w:tblPr>
        <w:tblW w:w="131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969"/>
        <w:gridCol w:w="850"/>
        <w:gridCol w:w="2268"/>
      </w:tblGrid>
      <w:tr w:rsidR="0015127E" w:rsidRPr="00A842B0" w:rsidTr="00254736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5D4CC1" w:rsidRPr="00A842B0" w:rsidRDefault="005D4CC1" w:rsidP="005D4CC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Propuesta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5D4CC1" w:rsidRPr="00A842B0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</w:t>
            </w:r>
            <w:r w:rsidR="00800488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 xml:space="preserve">rograma </w:t>
            </w: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/</w:t>
            </w:r>
            <w:r w:rsidR="00800488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 xml:space="preserve"> </w:t>
            </w: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</w:t>
            </w:r>
            <w:r w:rsidR="00800488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royecto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5D4CC1" w:rsidRPr="00A842B0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C</w:t>
            </w:r>
            <w:r w:rsidR="00800488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 xml:space="preserve">umple </w:t>
            </w: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/</w:t>
            </w:r>
            <w:r w:rsidR="00800488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 xml:space="preserve"> </w:t>
            </w: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N</w:t>
            </w:r>
            <w:r w:rsidR="00800488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o Cumple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5D4CC1" w:rsidRPr="00A842B0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A842B0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Observaciones</w:t>
            </w:r>
          </w:p>
        </w:tc>
      </w:tr>
      <w:tr w:rsidR="0015127E" w:rsidRPr="00A842B0" w:rsidTr="00254736">
        <w:trPr>
          <w:trHeight w:val="71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Adecuar la disponibilidad de suelos, uso adecuado de la densificación y mejor aprovechamiento, identificando uso de suelos mixtos, para viviendas (residencias) usos comerciales y de servicios, evitando desplazamientos.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Diagnóstico del Municipio de Santa Cruz para la actualización del POUT (Plan de Ordenamiento Urbano y Territorial).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9E6027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100% de 41M</w:t>
            </w:r>
          </w:p>
        </w:tc>
      </w:tr>
      <w:tr w:rsidR="0015127E" w:rsidRPr="00A842B0" w:rsidTr="00254736">
        <w:trPr>
          <w:trHeight w:val="7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Fomentar la complementariedad entre los ejes funcionales (corredores de transporte, autopistas, uso peatonal) e identificando áreas con sistemas no invasivos para crear funciones distintas de tránsito de vehículos motorizados.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 xml:space="preserve">No </w:t>
            </w:r>
            <w:r w:rsidR="009E6027"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A842B0" w:rsidTr="00254736">
        <w:trPr>
          <w:trHeight w:val="8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 xml:space="preserve">Consolidar la Red de Atención en Salud con la construcción de otros 20 centros de salud con atención de 12 horas y 10 centros de salud de 24 horas, 4 Gerencias Administrativas de las Redes </w:t>
            </w:r>
            <w:proofErr w:type="spellStart"/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Multidistritales</w:t>
            </w:r>
            <w:proofErr w:type="spellEnd"/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, 1 Centro Terapéutico Recreativo.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Realizar consultas médicas al total de la población asignada a la red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9E6027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100% de 470M</w:t>
            </w:r>
          </w:p>
        </w:tc>
      </w:tr>
      <w:tr w:rsidR="0015127E" w:rsidRPr="00A842B0" w:rsidTr="00254736">
        <w:trPr>
          <w:trHeight w:val="106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Crear el Plan de Prevención y Seguridad Municipal, con guardias de alto nivel de formación interdisciplinaria, capacitados para asistir a las personas en condición de usuarias de los espacios públicos, munidos con equipos de comunicación interrelacionados con una oficina de coordinación interinstitucional de acción municipal, la Fiscalía y la Policía Nacional.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 xml:space="preserve">No </w:t>
            </w:r>
            <w:r w:rsidR="009E6027"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A842B0" w:rsidTr="00254736">
        <w:trPr>
          <w:trHeight w:val="7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Instituir el Programa Municipal de Alerta Vecinal en cada distrito, encabezado por la Sub-Alcaldía a cargo de la atención inmediata y en red de los servicios existentes y que falte completar.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 xml:space="preserve">No </w:t>
            </w:r>
            <w:r w:rsidR="009E6027"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A842B0" w:rsidTr="00254736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Plan de Transporte Público para el municipio de Santa Cruz de la Sierra a través de una consulta popular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 xml:space="preserve">No </w:t>
            </w:r>
            <w:r w:rsidR="009E6027"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A842B0" w:rsidTr="00254736">
        <w:trPr>
          <w:trHeight w:val="51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Continuar y mejorar el Plan de Pavimentación, con la licitación conjunta de vías con aceras y pasos peatonales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Pavimentar 150 km de calles y avenidas del municipio de Santa Cruz de la Sierra.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9E6027" w:rsidP="005D4CC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C1" w:rsidRPr="00D2756F" w:rsidRDefault="005D4CC1" w:rsidP="005D4CC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90% de 24MM</w:t>
            </w:r>
          </w:p>
        </w:tc>
      </w:tr>
      <w:tr w:rsidR="0015127E" w:rsidRPr="00A842B0" w:rsidTr="00254736"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Continuar y mejorar el Plan de Drenaje Pluvial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Construcción de 44,45 km de canales principales o troncales de drenaje pluvial revestidos.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027" w:rsidRPr="00D2756F" w:rsidRDefault="009E6027" w:rsidP="009E602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70% de  18MM</w:t>
            </w:r>
          </w:p>
        </w:tc>
      </w:tr>
      <w:tr w:rsidR="0015127E" w:rsidRPr="00A842B0" w:rsidTr="00254736">
        <w:trPr>
          <w:trHeight w:val="10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Continuar impulsando la cultura en los barrios con la construcción y el funcionamiento de 10 nuevas bibliotecas municipales con talleres permanentes de actividades extracurriculares para escolares además de la construcción del Gran Teatro Municipal para 2500 personas.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No 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A842B0" w:rsidTr="00254736">
        <w:trPr>
          <w:trHeight w:val="7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 xml:space="preserve">Continuar promoviendo el deporte en todos los barrios con nuevos coliseos distritales, 200 canchas de fútbol y 300 canchas </w:t>
            </w:r>
            <w:proofErr w:type="spellStart"/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>polifuncionales</w:t>
            </w:r>
            <w:proofErr w:type="spellEnd"/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t xml:space="preserve"> iluminadas.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Construir 2 Mini - Estadios en los Distritos Nº 5 y 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70% de 18MM</w:t>
            </w:r>
          </w:p>
        </w:tc>
      </w:tr>
      <w:tr w:rsidR="0015127E" w:rsidRPr="00A842B0" w:rsidTr="00254736">
        <w:trPr>
          <w:trHeight w:val="10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val="es-ES" w:eastAsia="es-BO"/>
              </w:rPr>
              <w:lastRenderedPageBreak/>
              <w:t>Continuar con la recuperación de áreas verdes y la construcción de 40 nuevos parques protegidos que se sumarán a los 54 parques existentes avanzando en las 1.200 hectáreas de áreas verdes recuperadas.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Construir 44 Plazas en los diferentes Distritos de la Ciudad.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70% de 28MM</w:t>
            </w:r>
          </w:p>
        </w:tc>
      </w:tr>
      <w:tr w:rsidR="0015127E" w:rsidRPr="00A842B0" w:rsidTr="00254736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bCs/>
                <w:sz w:val="18"/>
                <w:szCs w:val="18"/>
                <w:lang w:val="es-ES" w:eastAsia="es-BO"/>
              </w:rPr>
              <w:t>Fortalecer las Sub-Alcaldías, de manera que en ellas juntas vecinales, organizaciones sociales, vecinos y vecinas.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Secretaría fuerte y en beneficio de los distritos municipales.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Cumple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27" w:rsidRPr="00D2756F" w:rsidRDefault="009E6027" w:rsidP="009E602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D2756F">
              <w:rPr>
                <w:rFonts w:eastAsia="Times New Roman" w:cs="Arial"/>
                <w:sz w:val="18"/>
                <w:szCs w:val="18"/>
                <w:lang w:eastAsia="es-BO"/>
              </w:rPr>
              <w:t>Se ejecutó al 100% de 32MM</w:t>
            </w:r>
          </w:p>
        </w:tc>
      </w:tr>
    </w:tbl>
    <w:p w:rsidR="003C058A" w:rsidRPr="00A842B0" w:rsidRDefault="003C058A" w:rsidP="003C058A"/>
    <w:p w:rsidR="00254736" w:rsidRDefault="00134934" w:rsidP="00254736">
      <w:pPr>
        <w:jc w:val="both"/>
      </w:pPr>
      <w:r w:rsidRPr="00A842B0">
        <w:t xml:space="preserve">En forma global se evidencio que el Gobierno Autónomo de Santa Cruz de La Sierra alcanzo un 92% de ejecución financiera de su presupuesto </w:t>
      </w:r>
      <w:r w:rsidR="00254736">
        <w:t xml:space="preserve">del </w:t>
      </w:r>
      <w:r w:rsidRPr="00A842B0">
        <w:t>POA</w:t>
      </w:r>
      <w:r w:rsidR="00254736">
        <w:t xml:space="preserve"> en la ge</w:t>
      </w:r>
      <w:r w:rsidRPr="00A842B0">
        <w:t>stión 2016</w:t>
      </w:r>
      <w:r w:rsidR="00254736">
        <w:t xml:space="preserve"> </w:t>
      </w:r>
      <w:r w:rsidRPr="00A842B0">
        <w:t xml:space="preserve">(Dato </w:t>
      </w:r>
      <w:r w:rsidR="00254736">
        <w:t>obtenido</w:t>
      </w:r>
      <w:r w:rsidRPr="00A842B0">
        <w:t xml:space="preserve"> de la página</w:t>
      </w:r>
      <w:r w:rsidR="00254736">
        <w:t xml:space="preserve"> del</w:t>
      </w:r>
      <w:r w:rsidRPr="00A842B0">
        <w:t xml:space="preserve"> Gobierno Autónomo Municipal de Santa Cruz</w:t>
      </w:r>
      <w:r w:rsidR="00254736">
        <w:t xml:space="preserve"> </w:t>
      </w:r>
      <w:r w:rsidR="00254736" w:rsidRPr="00254736">
        <w:t>http://www.gmsantacruz.gob.bo</w:t>
      </w:r>
      <w:r w:rsidRPr="00A842B0">
        <w:t>)</w:t>
      </w:r>
      <w:r w:rsidR="009C1700" w:rsidRPr="00A842B0">
        <w:t>.</w:t>
      </w:r>
      <w:r w:rsidR="00254736">
        <w:t xml:space="preserve"> Que de </w:t>
      </w:r>
      <w:r w:rsidR="00254736" w:rsidRPr="00254736">
        <w:t xml:space="preserve">3.268 </w:t>
      </w:r>
      <w:r w:rsidR="00254736">
        <w:t>MM</w:t>
      </w:r>
      <w:r w:rsidR="00254736" w:rsidRPr="00254736">
        <w:t xml:space="preserve"> de bolivianos presupuestados, el municipio ejecutó 2.995 millones, lo que equivale al 92%. De esta cifra, 2.419 millones fueron destinados a </w:t>
      </w:r>
      <w:r w:rsidR="00254736" w:rsidRPr="00254736">
        <w:rPr>
          <w:i/>
        </w:rPr>
        <w:t>inversión</w:t>
      </w:r>
      <w:r w:rsidR="00254736" w:rsidRPr="00254736">
        <w:t xml:space="preserve">, 440 millones </w:t>
      </w:r>
      <w:r w:rsidR="00254736" w:rsidRPr="00254736">
        <w:rPr>
          <w:i/>
        </w:rPr>
        <w:t>a gastos de funcionamiento</w:t>
      </w:r>
      <w:r w:rsidR="00254736" w:rsidRPr="00254736">
        <w:t xml:space="preserve"> y 135 millones al </w:t>
      </w:r>
      <w:r w:rsidR="00254736" w:rsidRPr="00254736">
        <w:rPr>
          <w:i/>
        </w:rPr>
        <w:t>servicio de la deuda</w:t>
      </w:r>
      <w:r w:rsidR="00254736" w:rsidRPr="00254736">
        <w:t>.</w:t>
      </w:r>
    </w:p>
    <w:p w:rsidR="00816962" w:rsidRPr="00A842B0" w:rsidRDefault="00816962" w:rsidP="00E338F7">
      <w:pPr>
        <w:spacing w:before="240"/>
      </w:pPr>
      <w:r w:rsidRPr="00816962">
        <w:t xml:space="preserve">De los Bs. 2.419 millones ejecutados en inversión, un 22,2% fue destinado a la salud gratuita, prioridad de la gestión del alcalde </w:t>
      </w:r>
      <w:proofErr w:type="spellStart"/>
      <w:r w:rsidRPr="00816962">
        <w:t>Percy</w:t>
      </w:r>
      <w:proofErr w:type="spellEnd"/>
      <w:r w:rsidRPr="00816962">
        <w:t xml:space="preserve"> Fernández; un 18% a educación; 13,4% a limpieza urbana; 11% a pavimentación; 10.5% a seguridad ciudadana; 9.8% a infraestructura urbana, entre otros.</w:t>
      </w:r>
    </w:p>
    <w:p w:rsidR="00E338F7" w:rsidRPr="00E338F7" w:rsidRDefault="00E338F7" w:rsidP="00E338F7">
      <w:pPr>
        <w:sectPr w:rsidR="00E338F7" w:rsidRPr="00E338F7" w:rsidSect="004738B8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t>Respecto  a los resultados anteri</w:t>
      </w:r>
      <w:r w:rsidR="00C1364C">
        <w:t>ormente descritos, se evidencia que no son coherentes con los resultados de los programas y</w:t>
      </w:r>
      <w:r w:rsidR="00E42258">
        <w:t>/o</w:t>
      </w:r>
      <w:r w:rsidR="00C1364C">
        <w:t xml:space="preserve"> proyectos en funcionamiento y ejecución</w:t>
      </w:r>
      <w:r w:rsidR="00E42258">
        <w:t>,</w:t>
      </w:r>
      <w:r w:rsidR="00C1364C">
        <w:t xml:space="preserve"> en alineación al cumplimiento de la oferta electoral.</w:t>
      </w:r>
    </w:p>
    <w:p w:rsidR="00B56EE9" w:rsidRDefault="00691EA0" w:rsidP="002F6C55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b/>
          <w:color w:val="auto"/>
        </w:rPr>
      </w:pPr>
      <w:bookmarkStart w:id="5" w:name="_Toc478327994"/>
      <w:r w:rsidRPr="002F6C55">
        <w:rPr>
          <w:rFonts w:asciiTheme="minorHAnsi" w:hAnsiTheme="minorHAnsi"/>
          <w:b/>
          <w:color w:val="auto"/>
        </w:rPr>
        <w:lastRenderedPageBreak/>
        <w:t>Valor p</w:t>
      </w:r>
      <w:r w:rsidR="002F6C55">
        <w:rPr>
          <w:rFonts w:asciiTheme="minorHAnsi" w:hAnsiTheme="minorHAnsi"/>
          <w:b/>
          <w:color w:val="auto"/>
        </w:rPr>
        <w:t>ú</w:t>
      </w:r>
      <w:r w:rsidRPr="002F6C55">
        <w:rPr>
          <w:rFonts w:asciiTheme="minorHAnsi" w:hAnsiTheme="minorHAnsi"/>
          <w:b/>
          <w:color w:val="auto"/>
        </w:rPr>
        <w:t>blico</w:t>
      </w:r>
      <w:bookmarkEnd w:id="5"/>
    </w:p>
    <w:p w:rsidR="00E338F7" w:rsidRDefault="00E338F7" w:rsidP="00CB359C">
      <w:pPr>
        <w:jc w:val="both"/>
      </w:pPr>
      <w:r>
        <w:t xml:space="preserve">De acuerdo a la documentación revisada, se concluye que el Gobierno Autónomo Municipal de Santa Cruz cumple </w:t>
      </w:r>
      <w:r w:rsidR="00CB359C">
        <w:t>parcialmente con la propuesta electoral para la gestión 2016.</w:t>
      </w:r>
    </w:p>
    <w:p w:rsidR="00CB359C" w:rsidRDefault="00CB359C" w:rsidP="00CB359C">
      <w:pPr>
        <w:jc w:val="both"/>
      </w:pPr>
      <w:r>
        <w:t>La ejecución del presupuesto estuvo destinado en mayor proporción a las inversiones en educación, pavimentación, seguridad ciudadana, infraestructura urbana entre otros; Asimismo los recursos fueron destinados a gastos de funcionamiento y deuda de servicios.</w:t>
      </w:r>
    </w:p>
    <w:p w:rsidR="00CB359C" w:rsidRDefault="00CB359C" w:rsidP="00CB359C">
      <w:pPr>
        <w:jc w:val="both"/>
      </w:pPr>
      <w:r>
        <w:t>Por otra parte el POA 2017 cuenta con mayores recursos respecto al POA 2016, y propone una mayor ejecución de recursos en cuanto a obras.</w:t>
      </w:r>
    </w:p>
    <w:p w:rsidR="00C40768" w:rsidRDefault="00C40768" w:rsidP="00CB359C">
      <w:pPr>
        <w:jc w:val="both"/>
      </w:pPr>
      <w:r>
        <w:t xml:space="preserve">El valor público a cada una de las propuestas se </w:t>
      </w:r>
      <w:r w:rsidR="00CE67C9">
        <w:t>detalla</w:t>
      </w:r>
      <w:r>
        <w:t xml:space="preserve"> en el siguiente cuadro:</w:t>
      </w:r>
    </w:p>
    <w:tbl>
      <w:tblPr>
        <w:tblW w:w="90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466"/>
        <w:gridCol w:w="422"/>
        <w:gridCol w:w="439"/>
        <w:gridCol w:w="427"/>
        <w:gridCol w:w="435"/>
        <w:gridCol w:w="451"/>
      </w:tblGrid>
      <w:tr w:rsidR="0015127E" w:rsidRPr="00BC717A" w:rsidTr="003F5E07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Propuesta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VP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PP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PD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PR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PA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b/>
                <w:bCs/>
                <w:sz w:val="18"/>
                <w:szCs w:val="18"/>
                <w:lang w:eastAsia="es-BO"/>
              </w:rPr>
              <w:t>PRD</w:t>
            </w:r>
          </w:p>
        </w:tc>
      </w:tr>
      <w:tr w:rsidR="0015127E" w:rsidRPr="00BC717A" w:rsidTr="003F5E07">
        <w:trPr>
          <w:trHeight w:val="673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Adecuar la disponibilidad de suelos, uso adecuado de la densificación y mejor aprovechamiento, identificando uso de suelos mixtos, para viviendas (residencias) usos comerciales y de servicios, evitando desplazamientos.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711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Fomentar la complementariedad entre los ejes funcionales (corredores de transporte, autopistas, uso peatonal) e identificando áreas con sistemas no invasivos para crear funciones distintas de tránsito de vehículos motorizados.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83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 xml:space="preserve">Consolidar la Red de Atención en Salud con la construcción de otros 20 centros de salud con atención de 12 horas y 10 centros de salud de 24 horas, 4 Gerencias Administrativas de las Redes </w:t>
            </w:r>
            <w:proofErr w:type="spellStart"/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Multidistritales</w:t>
            </w:r>
            <w:proofErr w:type="spellEnd"/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, 1 Centro Terapéutico Recreativo.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1077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Crear el Plan de Prevención y Seguridad Municipal, con guardias de alto nivel de formación interdisciplinaria, capacitados para asistir a las personas en condición de usuarias de los espacios públicos, munidos con equipos de comunicación interrelacionados con una oficina de coordinación interinstitucional de acción municipal, la Fiscalía y la Policía Nacional.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76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Instituir el Programa Municipal de Alerta Vecinal en cada distrito, encabezado por la Sub-Alcaldía a cargo de la atención inmediata y en red de los servicios existentes y que falte completar.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51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Plan de Transporte Público para el municipio de Santa Cruz de la Sierra a través de una consulta popular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51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Continuar y mejorar el Plan de Pavimentación, con la licitación conjunta de vías con aceras y pasos peatonales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Continuar y mejorar el Plan de Drenaje Pluvial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10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Continuar impulsando la cultura en los barrios con la construcción y el funcionamiento de 10 nuevas bibliotecas municipales con talleres permanentes de actividades extracurriculares para escolares además de la construcción del Gran Teatro Municipal para 2500 personas.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51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 xml:space="preserve">Continuar promoviendo el deporte en todos los barrios con nuevos coliseos distritales, 200 canchas de fútbol y 300 canchas </w:t>
            </w:r>
            <w:proofErr w:type="spellStart"/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polifuncionales</w:t>
            </w:r>
            <w:proofErr w:type="spellEnd"/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 xml:space="preserve"> iluminadas.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76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Continuar con la recuperación de áreas verdes y la construcción de 40 nuevos parques protegidos que se sumarán a los 54 parques existentes avanzando en las 1.200 hectáreas de áreas verdes recuperadas.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061B" w:rsidRPr="00BC717A" w:rsidRDefault="0078061B" w:rsidP="007806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  <w:tr w:rsidR="0015127E" w:rsidRPr="00BC717A" w:rsidTr="003F5E07">
        <w:trPr>
          <w:trHeight w:val="51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6CC" w:rsidRPr="00BC717A" w:rsidRDefault="003F06CC" w:rsidP="003F06C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Fortalecer las Sub-Alcaldías, de manera que en ellas juntas vecinales, organizaciones sociales, vecinos y vecinas.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07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SI/</w:t>
            </w:r>
          </w:p>
          <w:p w:rsidR="003F06CC" w:rsidRPr="00BC717A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6CC" w:rsidRPr="00BC717A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6CC" w:rsidRPr="00BC717A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6CC" w:rsidRPr="00BC717A" w:rsidRDefault="003F06CC" w:rsidP="003F5E0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Arial"/>
                <w:sz w:val="18"/>
                <w:szCs w:val="18"/>
                <w:lang w:eastAsia="es-BO"/>
              </w:rPr>
              <w:t>X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CC" w:rsidRPr="00BC717A" w:rsidRDefault="003F06CC" w:rsidP="003F5E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es-BO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CC" w:rsidRPr="00BC717A" w:rsidRDefault="003F06CC" w:rsidP="003F06C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es-BO"/>
              </w:rPr>
            </w:pPr>
            <w:r w:rsidRPr="00BC717A">
              <w:rPr>
                <w:rFonts w:eastAsia="Times New Roman" w:cs="Times New Roman"/>
                <w:sz w:val="18"/>
                <w:szCs w:val="18"/>
                <w:lang w:eastAsia="es-BO"/>
              </w:rPr>
              <w:t> </w:t>
            </w:r>
          </w:p>
        </w:tc>
      </w:tr>
    </w:tbl>
    <w:p w:rsidR="00410A05" w:rsidRPr="00E42258" w:rsidRDefault="00410A05" w:rsidP="00410A05">
      <w:pPr>
        <w:spacing w:after="0" w:line="240" w:lineRule="auto"/>
        <w:rPr>
          <w:rFonts w:eastAsia="Times New Roman" w:cs="Times New Roman"/>
          <w:sz w:val="20"/>
          <w:szCs w:val="20"/>
          <w:lang w:eastAsia="es-BO"/>
        </w:rPr>
      </w:pPr>
      <w:r w:rsidRPr="00E42258">
        <w:rPr>
          <w:rFonts w:eastAsia="Times New Roman" w:cs="Times New Roman"/>
          <w:sz w:val="20"/>
          <w:szCs w:val="20"/>
          <w:lang w:eastAsia="es-BO"/>
        </w:rPr>
        <w:t>Valor Publico (VP), Política Publica (PP), Política Distributiva (PD), Polí</w:t>
      </w:r>
      <w:r w:rsidR="00E42258">
        <w:rPr>
          <w:rFonts w:eastAsia="Times New Roman" w:cs="Times New Roman"/>
          <w:sz w:val="20"/>
          <w:szCs w:val="20"/>
          <w:lang w:eastAsia="es-BO"/>
        </w:rPr>
        <w:t xml:space="preserve">tica Regulatoria (PR), Política </w:t>
      </w:r>
      <w:proofErr w:type="spellStart"/>
      <w:r w:rsidRPr="00E42258">
        <w:rPr>
          <w:rFonts w:eastAsia="Times New Roman" w:cs="Times New Roman"/>
          <w:sz w:val="20"/>
          <w:szCs w:val="20"/>
          <w:lang w:eastAsia="es-BO"/>
        </w:rPr>
        <w:t>Autoregulatoria</w:t>
      </w:r>
      <w:proofErr w:type="spellEnd"/>
      <w:r w:rsidRPr="00E42258">
        <w:rPr>
          <w:rFonts w:eastAsia="Times New Roman" w:cs="Times New Roman"/>
          <w:sz w:val="20"/>
          <w:szCs w:val="20"/>
          <w:lang w:eastAsia="es-BO"/>
        </w:rPr>
        <w:t xml:space="preserve"> (PA), Política Redistributiva (PRD)</w:t>
      </w:r>
    </w:p>
    <w:p w:rsidR="00410A05" w:rsidRPr="00A842B0" w:rsidRDefault="00410A05" w:rsidP="00EE5BA9"/>
    <w:p w:rsidR="004C1983" w:rsidRPr="007F0A8B" w:rsidRDefault="00973D56" w:rsidP="007F0A8B">
      <w:pPr>
        <w:pStyle w:val="Ttulo1"/>
        <w:numPr>
          <w:ilvl w:val="0"/>
          <w:numId w:val="1"/>
        </w:numPr>
        <w:spacing w:after="240"/>
        <w:jc w:val="both"/>
        <w:rPr>
          <w:rFonts w:asciiTheme="minorHAnsi" w:hAnsiTheme="minorHAnsi"/>
          <w:b/>
          <w:color w:val="auto"/>
        </w:rPr>
      </w:pPr>
      <w:bookmarkStart w:id="6" w:name="_Toc478327995"/>
      <w:r w:rsidRPr="007F0A8B">
        <w:rPr>
          <w:rFonts w:asciiTheme="minorHAnsi" w:hAnsiTheme="minorHAnsi"/>
          <w:b/>
          <w:color w:val="auto"/>
        </w:rPr>
        <w:t>Bibliografía</w:t>
      </w:r>
      <w:bookmarkEnd w:id="6"/>
      <w:r w:rsidR="004C1983" w:rsidRPr="007F0A8B">
        <w:rPr>
          <w:rFonts w:asciiTheme="minorHAnsi" w:hAnsiTheme="minorHAnsi"/>
          <w:b/>
          <w:color w:val="auto"/>
        </w:rPr>
        <w:t xml:space="preserve"> </w:t>
      </w:r>
    </w:p>
    <w:p w:rsidR="004C1983" w:rsidRDefault="00CE67C9" w:rsidP="004C1983">
      <w:r>
        <w:t xml:space="preserve">[1] </w:t>
      </w:r>
      <w:r w:rsidR="004C1983" w:rsidRPr="00A842B0">
        <w:t xml:space="preserve">Cartilla metodología sobre: Participación ciudadana y control social en el cumplimiento de ofertas electorales Coordinador: Mario Galindo Sosa, Big </w:t>
      </w:r>
      <w:proofErr w:type="spellStart"/>
      <w:r w:rsidR="004C1983" w:rsidRPr="00A842B0">
        <w:t>bang</w:t>
      </w:r>
      <w:proofErr w:type="spellEnd"/>
      <w:r w:rsidR="004C1983" w:rsidRPr="00A842B0">
        <w:t xml:space="preserve"> estudios.</w:t>
      </w:r>
    </w:p>
    <w:p w:rsidR="00CE67C9" w:rsidRDefault="00CE67C9" w:rsidP="004C1983">
      <w:r>
        <w:t xml:space="preserve">[2] </w:t>
      </w:r>
      <w:r w:rsidR="000F1DC9">
        <w:t>Presupuesto General del Estado 2016</w:t>
      </w:r>
      <w:r w:rsidR="006F67A4">
        <w:t xml:space="preserve"> y</w:t>
      </w:r>
      <w:bookmarkStart w:id="7" w:name="_GoBack"/>
      <w:bookmarkEnd w:id="7"/>
      <w:r w:rsidR="000F1DC9">
        <w:t xml:space="preserve"> 2017, </w:t>
      </w:r>
      <w:r w:rsidRPr="00CE67C9">
        <w:t>https://sigep.sigma.gob.bo/sigep_publico/faces/SFprRepPub?gestion=2017&amp;_afrWindowMode=0&amp;_afrLoop=1379891878872000&amp;_adf.ctrl-state=11ygl2onto_4</w:t>
      </w:r>
    </w:p>
    <w:p w:rsidR="00CE67C9" w:rsidRPr="00A842B0" w:rsidRDefault="00CE67C9" w:rsidP="004C1983">
      <w:r>
        <w:t>[2]</w:t>
      </w:r>
      <w:r w:rsidR="000F1DC9">
        <w:t xml:space="preserve"> Plan Operativo anual 2017,</w:t>
      </w:r>
      <w:r>
        <w:t xml:space="preserve"> </w:t>
      </w:r>
      <w:r w:rsidRPr="00CE67C9">
        <w:t>http://concejomunicipalscz.gob.bo/portal/biblioteca/_pdf/otros/POA-2017.pdf</w:t>
      </w:r>
    </w:p>
    <w:p w:rsidR="004C1983" w:rsidRPr="000F1DC9" w:rsidRDefault="00CE67C9" w:rsidP="004C1983">
      <w:r>
        <w:t>[3]</w:t>
      </w:r>
      <w:r w:rsidR="000F1DC9">
        <w:t xml:space="preserve"> Inversión pública 2016,</w:t>
      </w:r>
      <w:r>
        <w:t xml:space="preserve"> </w:t>
      </w:r>
      <w:r w:rsidR="004C1983" w:rsidRPr="00A842B0">
        <w:t xml:space="preserve"> </w:t>
      </w:r>
      <w:hyperlink r:id="rId10" w:history="1">
        <w:r w:rsidR="004C1983" w:rsidRPr="000F1DC9">
          <w:t>http://archivo.vipfe.gob.bo/PR/documentos/inversion-publica/Pres_inv_pub2016.pdf</w:t>
        </w:r>
      </w:hyperlink>
    </w:p>
    <w:p w:rsidR="00CE67C9" w:rsidRPr="00A842B0" w:rsidRDefault="00CE67C9" w:rsidP="004C1983">
      <w:r>
        <w:t>[4]</w:t>
      </w:r>
      <w:r w:rsidR="000F1DC9">
        <w:t xml:space="preserve"> </w:t>
      </w:r>
      <w:r w:rsidR="000F1DC9" w:rsidRPr="000F1DC9">
        <w:t>Participación y Control Ciudadano para el cumplimiento de las ofertas electorales Departamentales y Municipales 2015</w:t>
      </w:r>
      <w:r w:rsidR="000F1DC9">
        <w:t>,</w:t>
      </w:r>
      <w:r>
        <w:t xml:space="preserve"> </w:t>
      </w:r>
      <w:r w:rsidRPr="00CE67C9">
        <w:t>https://cebem.org/?page_id=37</w:t>
      </w:r>
    </w:p>
    <w:p w:rsidR="00257A80" w:rsidRPr="00A842B0" w:rsidRDefault="00257A80" w:rsidP="00DD4933">
      <w:pPr>
        <w:pStyle w:val="Ttulo1"/>
        <w:jc w:val="both"/>
        <w:rPr>
          <w:rFonts w:asciiTheme="minorHAnsi" w:hAnsiTheme="minorHAnsi"/>
          <w:color w:val="auto"/>
        </w:rPr>
      </w:pPr>
    </w:p>
    <w:sectPr w:rsidR="00257A80" w:rsidRPr="00A842B0" w:rsidSect="003C05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71E" w:rsidRDefault="0012171E" w:rsidP="0015127E">
      <w:pPr>
        <w:spacing w:after="0" w:line="240" w:lineRule="auto"/>
      </w:pPr>
      <w:r>
        <w:separator/>
      </w:r>
    </w:p>
  </w:endnote>
  <w:endnote w:type="continuationSeparator" w:id="0">
    <w:p w:rsidR="0012171E" w:rsidRDefault="0012171E" w:rsidP="00151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5010225"/>
      <w:docPartObj>
        <w:docPartGallery w:val="Page Numbers (Bottom of Page)"/>
        <w:docPartUnique/>
      </w:docPartObj>
    </w:sdtPr>
    <w:sdtEndPr/>
    <w:sdtContent>
      <w:sdt>
        <w:sdtPr>
          <w:id w:val="1945114230"/>
          <w:docPartObj>
            <w:docPartGallery w:val="Page Numbers (Top of Page)"/>
            <w:docPartUnique/>
          </w:docPartObj>
        </w:sdtPr>
        <w:sdtEndPr/>
        <w:sdtContent>
          <w:p w:rsidR="0012171E" w:rsidRDefault="0012171E">
            <w:pPr>
              <w:pStyle w:val="Piedepgina"/>
              <w:jc w:val="right"/>
            </w:pPr>
            <w:r w:rsidRPr="0015127E">
              <w:rPr>
                <w:bCs/>
                <w:sz w:val="20"/>
                <w:szCs w:val="20"/>
              </w:rPr>
              <w:fldChar w:fldCharType="begin"/>
            </w:r>
            <w:r w:rsidRPr="0015127E">
              <w:rPr>
                <w:bCs/>
                <w:sz w:val="20"/>
                <w:szCs w:val="20"/>
              </w:rPr>
              <w:instrText>PAGE</w:instrText>
            </w:r>
            <w:r w:rsidRPr="0015127E">
              <w:rPr>
                <w:bCs/>
                <w:sz w:val="20"/>
                <w:szCs w:val="20"/>
              </w:rPr>
              <w:fldChar w:fldCharType="separate"/>
            </w:r>
            <w:r w:rsidR="006F67A4">
              <w:rPr>
                <w:bCs/>
                <w:noProof/>
                <w:sz w:val="20"/>
                <w:szCs w:val="20"/>
              </w:rPr>
              <w:t>12</w:t>
            </w:r>
            <w:r w:rsidRPr="0015127E">
              <w:rPr>
                <w:bCs/>
                <w:sz w:val="20"/>
                <w:szCs w:val="20"/>
              </w:rPr>
              <w:fldChar w:fldCharType="end"/>
            </w:r>
            <w:r w:rsidRPr="0015127E">
              <w:rPr>
                <w:bCs/>
                <w:sz w:val="20"/>
                <w:szCs w:val="20"/>
              </w:rPr>
              <w:t>/</w:t>
            </w:r>
            <w:r w:rsidRPr="0015127E">
              <w:rPr>
                <w:bCs/>
                <w:sz w:val="20"/>
                <w:szCs w:val="20"/>
              </w:rPr>
              <w:fldChar w:fldCharType="begin"/>
            </w:r>
            <w:r w:rsidRPr="0015127E">
              <w:rPr>
                <w:bCs/>
                <w:sz w:val="20"/>
                <w:szCs w:val="20"/>
              </w:rPr>
              <w:instrText>NUMPAGES</w:instrText>
            </w:r>
            <w:r w:rsidRPr="0015127E">
              <w:rPr>
                <w:bCs/>
                <w:sz w:val="20"/>
                <w:szCs w:val="20"/>
              </w:rPr>
              <w:fldChar w:fldCharType="separate"/>
            </w:r>
            <w:r w:rsidR="006F67A4">
              <w:rPr>
                <w:bCs/>
                <w:noProof/>
                <w:sz w:val="20"/>
                <w:szCs w:val="20"/>
              </w:rPr>
              <w:t>12</w:t>
            </w:r>
            <w:r w:rsidRPr="0015127E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2171E" w:rsidRDefault="001217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71E" w:rsidRDefault="0012171E" w:rsidP="0015127E">
      <w:pPr>
        <w:spacing w:after="0" w:line="240" w:lineRule="auto"/>
      </w:pPr>
      <w:r>
        <w:separator/>
      </w:r>
    </w:p>
  </w:footnote>
  <w:footnote w:type="continuationSeparator" w:id="0">
    <w:p w:rsidR="0012171E" w:rsidRDefault="0012171E" w:rsidP="00151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B7BFA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8003C8"/>
    <w:multiLevelType w:val="hybridMultilevel"/>
    <w:tmpl w:val="7D88429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84CF2"/>
    <w:multiLevelType w:val="hybridMultilevel"/>
    <w:tmpl w:val="63285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02459"/>
    <w:multiLevelType w:val="hybridMultilevel"/>
    <w:tmpl w:val="2A206EE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226E6"/>
    <w:multiLevelType w:val="multilevel"/>
    <w:tmpl w:val="AD3EA9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6B737F2"/>
    <w:multiLevelType w:val="hybridMultilevel"/>
    <w:tmpl w:val="F38268C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E1A87"/>
    <w:multiLevelType w:val="hybridMultilevel"/>
    <w:tmpl w:val="BEB227C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0D45B5"/>
    <w:multiLevelType w:val="hybridMultilevel"/>
    <w:tmpl w:val="E5D6C3A6"/>
    <w:lvl w:ilvl="0" w:tplc="40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54FA3D32"/>
    <w:multiLevelType w:val="hybridMultilevel"/>
    <w:tmpl w:val="D97C11A8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62C0E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0A81BEA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AC36E2D"/>
    <w:multiLevelType w:val="hybridMultilevel"/>
    <w:tmpl w:val="10FE3C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1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73"/>
    <w:rsid w:val="0000779B"/>
    <w:rsid w:val="00007969"/>
    <w:rsid w:val="0009791B"/>
    <w:rsid w:val="000C27A3"/>
    <w:rsid w:val="000F1DC9"/>
    <w:rsid w:val="00116D86"/>
    <w:rsid w:val="0012171E"/>
    <w:rsid w:val="00134934"/>
    <w:rsid w:val="0015127E"/>
    <w:rsid w:val="001549D7"/>
    <w:rsid w:val="0015699D"/>
    <w:rsid w:val="00170CC6"/>
    <w:rsid w:val="001D3AFD"/>
    <w:rsid w:val="001D548A"/>
    <w:rsid w:val="001F5AD4"/>
    <w:rsid w:val="0020090E"/>
    <w:rsid w:val="00224A73"/>
    <w:rsid w:val="0024097D"/>
    <w:rsid w:val="002443B8"/>
    <w:rsid w:val="00254736"/>
    <w:rsid w:val="002559C2"/>
    <w:rsid w:val="00257A80"/>
    <w:rsid w:val="002673ED"/>
    <w:rsid w:val="002A3D0A"/>
    <w:rsid w:val="002D47A8"/>
    <w:rsid w:val="002F24B5"/>
    <w:rsid w:val="002F6C55"/>
    <w:rsid w:val="00306C5B"/>
    <w:rsid w:val="00335EB4"/>
    <w:rsid w:val="00356258"/>
    <w:rsid w:val="00360BFE"/>
    <w:rsid w:val="00365D22"/>
    <w:rsid w:val="003B7C0F"/>
    <w:rsid w:val="003C058A"/>
    <w:rsid w:val="003C7A48"/>
    <w:rsid w:val="003D029F"/>
    <w:rsid w:val="003F06CC"/>
    <w:rsid w:val="003F0E32"/>
    <w:rsid w:val="003F5E07"/>
    <w:rsid w:val="00406415"/>
    <w:rsid w:val="00410A05"/>
    <w:rsid w:val="004252BA"/>
    <w:rsid w:val="00427441"/>
    <w:rsid w:val="00432168"/>
    <w:rsid w:val="00433D81"/>
    <w:rsid w:val="004522F4"/>
    <w:rsid w:val="004668A6"/>
    <w:rsid w:val="00471310"/>
    <w:rsid w:val="004738B8"/>
    <w:rsid w:val="004747EA"/>
    <w:rsid w:val="00483FB9"/>
    <w:rsid w:val="00496424"/>
    <w:rsid w:val="004A565E"/>
    <w:rsid w:val="004C1983"/>
    <w:rsid w:val="004D6408"/>
    <w:rsid w:val="00507080"/>
    <w:rsid w:val="00514371"/>
    <w:rsid w:val="00515867"/>
    <w:rsid w:val="00547006"/>
    <w:rsid w:val="005B1A70"/>
    <w:rsid w:val="005B1F12"/>
    <w:rsid w:val="005C0A0A"/>
    <w:rsid w:val="005D3798"/>
    <w:rsid w:val="005D4CC1"/>
    <w:rsid w:val="005E0A35"/>
    <w:rsid w:val="0060172D"/>
    <w:rsid w:val="00617A4A"/>
    <w:rsid w:val="00646402"/>
    <w:rsid w:val="00654290"/>
    <w:rsid w:val="00671178"/>
    <w:rsid w:val="00674C9F"/>
    <w:rsid w:val="00675A4D"/>
    <w:rsid w:val="00691EA0"/>
    <w:rsid w:val="006A4C08"/>
    <w:rsid w:val="006C4559"/>
    <w:rsid w:val="006D27FF"/>
    <w:rsid w:val="006D5245"/>
    <w:rsid w:val="006E381D"/>
    <w:rsid w:val="006F67A4"/>
    <w:rsid w:val="00711E9B"/>
    <w:rsid w:val="00715E05"/>
    <w:rsid w:val="0077745C"/>
    <w:rsid w:val="0078061B"/>
    <w:rsid w:val="007A5E40"/>
    <w:rsid w:val="007D3A58"/>
    <w:rsid w:val="007F0A8B"/>
    <w:rsid w:val="00800488"/>
    <w:rsid w:val="00816962"/>
    <w:rsid w:val="00821D8D"/>
    <w:rsid w:val="00832A4B"/>
    <w:rsid w:val="008449AE"/>
    <w:rsid w:val="00860AAB"/>
    <w:rsid w:val="00860B31"/>
    <w:rsid w:val="00872A3E"/>
    <w:rsid w:val="008B79DF"/>
    <w:rsid w:val="008D21D4"/>
    <w:rsid w:val="008E5D5C"/>
    <w:rsid w:val="008F3C30"/>
    <w:rsid w:val="008F42DD"/>
    <w:rsid w:val="00930CDD"/>
    <w:rsid w:val="00973D56"/>
    <w:rsid w:val="0098608C"/>
    <w:rsid w:val="00991C46"/>
    <w:rsid w:val="00997FB1"/>
    <w:rsid w:val="009B55F4"/>
    <w:rsid w:val="009C08E3"/>
    <w:rsid w:val="009C1700"/>
    <w:rsid w:val="009E0EE9"/>
    <w:rsid w:val="009E6027"/>
    <w:rsid w:val="009F46A9"/>
    <w:rsid w:val="00A445BD"/>
    <w:rsid w:val="00A560E0"/>
    <w:rsid w:val="00A7316C"/>
    <w:rsid w:val="00A81810"/>
    <w:rsid w:val="00A842B0"/>
    <w:rsid w:val="00AA37D3"/>
    <w:rsid w:val="00AC550B"/>
    <w:rsid w:val="00AD062F"/>
    <w:rsid w:val="00AD52C6"/>
    <w:rsid w:val="00AD52E4"/>
    <w:rsid w:val="00AE0BB9"/>
    <w:rsid w:val="00B02B43"/>
    <w:rsid w:val="00B17695"/>
    <w:rsid w:val="00B556DD"/>
    <w:rsid w:val="00B56EE9"/>
    <w:rsid w:val="00B76186"/>
    <w:rsid w:val="00BC717A"/>
    <w:rsid w:val="00BE48B0"/>
    <w:rsid w:val="00C06D9E"/>
    <w:rsid w:val="00C1364C"/>
    <w:rsid w:val="00C176B8"/>
    <w:rsid w:val="00C40768"/>
    <w:rsid w:val="00C44D5F"/>
    <w:rsid w:val="00C522CF"/>
    <w:rsid w:val="00C61A56"/>
    <w:rsid w:val="00C80732"/>
    <w:rsid w:val="00C848F8"/>
    <w:rsid w:val="00CB1701"/>
    <w:rsid w:val="00CB359C"/>
    <w:rsid w:val="00CD501D"/>
    <w:rsid w:val="00CE28A5"/>
    <w:rsid w:val="00CE67C9"/>
    <w:rsid w:val="00CE6C36"/>
    <w:rsid w:val="00CF045B"/>
    <w:rsid w:val="00D17895"/>
    <w:rsid w:val="00D21729"/>
    <w:rsid w:val="00D268A8"/>
    <w:rsid w:val="00D2756F"/>
    <w:rsid w:val="00D42C37"/>
    <w:rsid w:val="00D43D20"/>
    <w:rsid w:val="00D52DB8"/>
    <w:rsid w:val="00D54719"/>
    <w:rsid w:val="00DD4933"/>
    <w:rsid w:val="00DE6340"/>
    <w:rsid w:val="00E166F1"/>
    <w:rsid w:val="00E338F7"/>
    <w:rsid w:val="00E35934"/>
    <w:rsid w:val="00E42258"/>
    <w:rsid w:val="00E55259"/>
    <w:rsid w:val="00E82480"/>
    <w:rsid w:val="00E84E58"/>
    <w:rsid w:val="00E86A7A"/>
    <w:rsid w:val="00EC1DFD"/>
    <w:rsid w:val="00ED3044"/>
    <w:rsid w:val="00EE5BA9"/>
    <w:rsid w:val="00EF3AF2"/>
    <w:rsid w:val="00F04AFA"/>
    <w:rsid w:val="00F459A2"/>
    <w:rsid w:val="00F82DDA"/>
    <w:rsid w:val="00F860B5"/>
    <w:rsid w:val="00FA43F8"/>
    <w:rsid w:val="00FA65C4"/>
    <w:rsid w:val="00FB6E98"/>
    <w:rsid w:val="00FB75BF"/>
    <w:rsid w:val="00FD24E2"/>
    <w:rsid w:val="00FD3E24"/>
    <w:rsid w:val="00FD6143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95087AD-7387-4173-BBEE-DFCCA5CB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4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4A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60172D"/>
    <w:pPr>
      <w:outlineLvl w:val="9"/>
    </w:pPr>
    <w:rPr>
      <w:lang w:eastAsia="es-BO"/>
    </w:rPr>
  </w:style>
  <w:style w:type="paragraph" w:styleId="TDC1">
    <w:name w:val="toc 1"/>
    <w:basedOn w:val="Normal"/>
    <w:next w:val="Normal"/>
    <w:autoRedefine/>
    <w:uiPriority w:val="39"/>
    <w:unhideWhenUsed/>
    <w:rsid w:val="0060172D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60172D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1F5AD4"/>
    <w:rPr>
      <w:b/>
      <w:bCs/>
    </w:rPr>
  </w:style>
  <w:style w:type="paragraph" w:styleId="Prrafodelista">
    <w:name w:val="List Paragraph"/>
    <w:basedOn w:val="Normal"/>
    <w:uiPriority w:val="34"/>
    <w:qFormat/>
    <w:rsid w:val="00FA43F8"/>
    <w:pPr>
      <w:ind w:left="720"/>
      <w:contextualSpacing/>
    </w:pPr>
  </w:style>
  <w:style w:type="paragraph" w:styleId="Puesto">
    <w:name w:val="Title"/>
    <w:basedOn w:val="Normal"/>
    <w:next w:val="Normal"/>
    <w:link w:val="PuestoCar"/>
    <w:uiPriority w:val="10"/>
    <w:qFormat/>
    <w:rsid w:val="00AC55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AC5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intenso">
    <w:name w:val="Intense Emphasis"/>
    <w:basedOn w:val="Fuentedeprrafopredeter"/>
    <w:uiPriority w:val="21"/>
    <w:qFormat/>
    <w:rsid w:val="00AC550B"/>
    <w:rPr>
      <w:i/>
      <w:iCs/>
      <w:color w:val="5B9BD5" w:themeColor="accent1"/>
    </w:rPr>
  </w:style>
  <w:style w:type="table" w:styleId="Tablaconcuadrcula">
    <w:name w:val="Table Grid"/>
    <w:basedOn w:val="Tablanormal"/>
    <w:uiPriority w:val="39"/>
    <w:rsid w:val="003C0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1">
    <w:name w:val="Light List Accent 1"/>
    <w:basedOn w:val="Tablanormal"/>
    <w:uiPriority w:val="61"/>
    <w:rsid w:val="00507080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1512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127E"/>
  </w:style>
  <w:style w:type="paragraph" w:styleId="Piedepgina">
    <w:name w:val="footer"/>
    <w:basedOn w:val="Normal"/>
    <w:link w:val="PiedepginaCar"/>
    <w:uiPriority w:val="99"/>
    <w:unhideWhenUsed/>
    <w:rsid w:val="001512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127E"/>
  </w:style>
  <w:style w:type="paragraph" w:styleId="Descripcin">
    <w:name w:val="caption"/>
    <w:basedOn w:val="Normal"/>
    <w:next w:val="Normal"/>
    <w:uiPriority w:val="35"/>
    <w:unhideWhenUsed/>
    <w:qFormat/>
    <w:rsid w:val="002673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1D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chivo.vipfe.gob.bo/PR/documentos/inversion-publica/Pres_inv_pub2016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83D8C-0F2B-4E41-B6F0-7AB28DF6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3519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aestrada</dc:creator>
  <cp:keywords/>
  <dc:description/>
  <cp:lastModifiedBy>Wilma</cp:lastModifiedBy>
  <cp:revision>14</cp:revision>
  <dcterms:created xsi:type="dcterms:W3CDTF">2017-03-27T01:44:00Z</dcterms:created>
  <dcterms:modified xsi:type="dcterms:W3CDTF">2017-03-27T01:47:00Z</dcterms:modified>
</cp:coreProperties>
</file>